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E73" w:rsidRPr="00536B3B" w:rsidRDefault="00454E73" w:rsidP="00454E73">
      <w:pPr>
        <w:jc w:val="center"/>
        <w:rPr>
          <w:rStyle w:val="italic"/>
          <w:rFonts w:ascii="Times New Roman" w:hAnsi="Times New Roman" w:cs="Times New Roman"/>
          <w:b/>
          <w:i w:val="0"/>
          <w:color w:val="000000"/>
          <w:sz w:val="24"/>
          <w:szCs w:val="24"/>
          <w:lang w:val="lt-LT"/>
        </w:rPr>
      </w:pPr>
      <w:r w:rsidRPr="00536B3B">
        <w:rPr>
          <w:rStyle w:val="italic"/>
          <w:rFonts w:ascii="Times New Roman" w:hAnsi="Times New Roman" w:cs="Times New Roman"/>
          <w:b/>
          <w:i w:val="0"/>
          <w:color w:val="000000"/>
          <w:sz w:val="24"/>
          <w:szCs w:val="24"/>
        </w:rPr>
        <w:t xml:space="preserve">Lietuvos </w:t>
      </w:r>
      <w:r w:rsidRPr="00536B3B">
        <w:rPr>
          <w:rStyle w:val="italic"/>
          <w:rFonts w:ascii="Times New Roman" w:hAnsi="Times New Roman" w:cs="Times New Roman"/>
          <w:b/>
          <w:i w:val="0"/>
          <w:color w:val="000000"/>
          <w:sz w:val="24"/>
          <w:szCs w:val="24"/>
          <w:lang w:val="lt-LT"/>
        </w:rPr>
        <w:t xml:space="preserve">žuvininkystės sektoriaus 2014–2020 metų veiksmų </w:t>
      </w:r>
      <w:r w:rsidR="00536B3B" w:rsidRPr="00536B3B">
        <w:rPr>
          <w:rStyle w:val="italic"/>
          <w:rFonts w:ascii="Times New Roman" w:hAnsi="Times New Roman" w:cs="Times New Roman"/>
          <w:b/>
          <w:i w:val="0"/>
          <w:color w:val="000000"/>
          <w:sz w:val="24"/>
          <w:szCs w:val="24"/>
          <w:lang w:val="lt-LT"/>
        </w:rPr>
        <w:t>programos įgyvendinimo</w:t>
      </w:r>
      <w:r w:rsidR="008616FE" w:rsidRPr="00536B3B">
        <w:rPr>
          <w:rStyle w:val="italic"/>
          <w:rFonts w:ascii="Times New Roman" w:hAnsi="Times New Roman" w:cs="Times New Roman"/>
          <w:b/>
          <w:i w:val="0"/>
          <w:color w:val="000000"/>
          <w:sz w:val="24"/>
          <w:szCs w:val="24"/>
          <w:lang w:val="lt-LT"/>
        </w:rPr>
        <w:t xml:space="preserve"> rezultatai iki 201</w:t>
      </w:r>
      <w:r w:rsidR="00AF6839" w:rsidRPr="00536B3B">
        <w:rPr>
          <w:rStyle w:val="italic"/>
          <w:rFonts w:ascii="Times New Roman" w:hAnsi="Times New Roman" w:cs="Times New Roman"/>
          <w:b/>
          <w:i w:val="0"/>
          <w:color w:val="000000"/>
          <w:sz w:val="24"/>
          <w:szCs w:val="24"/>
          <w:lang w:val="lt-LT"/>
        </w:rPr>
        <w:t>8</w:t>
      </w:r>
      <w:r w:rsidR="008616FE" w:rsidRPr="00536B3B">
        <w:rPr>
          <w:rStyle w:val="italic"/>
          <w:rFonts w:ascii="Times New Roman" w:hAnsi="Times New Roman" w:cs="Times New Roman"/>
          <w:b/>
          <w:i w:val="0"/>
          <w:color w:val="000000"/>
          <w:sz w:val="24"/>
          <w:szCs w:val="24"/>
          <w:lang w:val="lt-LT"/>
        </w:rPr>
        <w:t xml:space="preserve"> m. pabaigos</w:t>
      </w:r>
    </w:p>
    <w:p w:rsidR="001C0A96" w:rsidRPr="00536B3B" w:rsidRDefault="001C0A96">
      <w:pPr>
        <w:rPr>
          <w:rFonts w:ascii="Times New Roman" w:hAnsi="Times New Roman" w:cs="Times New Roman"/>
          <w:lang w:val="lt-LT"/>
        </w:rPr>
      </w:pPr>
    </w:p>
    <w:p w:rsidR="00F17048" w:rsidRPr="00536B3B" w:rsidRDefault="0093092B" w:rsidP="007321D5">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 xml:space="preserve">Nuo </w:t>
      </w:r>
      <w:r w:rsidR="00F17048" w:rsidRPr="00536B3B">
        <w:rPr>
          <w:rStyle w:val="italic"/>
          <w:rFonts w:ascii="Times New Roman" w:hAnsi="Times New Roman" w:cs="Times New Roman"/>
          <w:i w:val="0"/>
          <w:color w:val="000000"/>
          <w:sz w:val="24"/>
          <w:szCs w:val="24"/>
          <w:lang w:val="lt-LT"/>
        </w:rPr>
        <w:t xml:space="preserve">Lietuvos žuvininkystės sektoriaus 2014–2020 metų veiksmų </w:t>
      </w:r>
      <w:r w:rsidRPr="00536B3B">
        <w:rPr>
          <w:rFonts w:ascii="Times New Roman" w:hAnsi="Times New Roman" w:cs="Times New Roman"/>
          <w:sz w:val="24"/>
          <w:szCs w:val="24"/>
          <w:lang w:val="lt-LT"/>
        </w:rPr>
        <w:t xml:space="preserve">programos </w:t>
      </w:r>
      <w:r w:rsidR="00F17048" w:rsidRPr="00536B3B">
        <w:rPr>
          <w:rFonts w:ascii="Times New Roman" w:hAnsi="Times New Roman" w:cs="Times New Roman"/>
          <w:sz w:val="24"/>
          <w:szCs w:val="24"/>
          <w:lang w:val="lt-LT"/>
        </w:rPr>
        <w:t xml:space="preserve">(toliau – Veiksmų programa) </w:t>
      </w:r>
      <w:r w:rsidRPr="00536B3B">
        <w:rPr>
          <w:rFonts w:ascii="Times New Roman" w:hAnsi="Times New Roman" w:cs="Times New Roman"/>
          <w:sz w:val="24"/>
          <w:szCs w:val="24"/>
          <w:lang w:val="lt-LT"/>
        </w:rPr>
        <w:t>įgyvendinimo pradžios iki 2018 m. gruodžio 31 d. iš viso gaut</w:t>
      </w:r>
      <w:r w:rsidR="00F17048" w:rsidRPr="00536B3B">
        <w:rPr>
          <w:rFonts w:ascii="Times New Roman" w:hAnsi="Times New Roman" w:cs="Times New Roman"/>
          <w:sz w:val="24"/>
          <w:szCs w:val="24"/>
          <w:lang w:val="lt-LT"/>
        </w:rPr>
        <w:t>a</w:t>
      </w:r>
      <w:r w:rsidRPr="00536B3B">
        <w:rPr>
          <w:rFonts w:ascii="Times New Roman" w:hAnsi="Times New Roman" w:cs="Times New Roman"/>
          <w:sz w:val="24"/>
          <w:szCs w:val="24"/>
          <w:lang w:val="lt-LT"/>
        </w:rPr>
        <w:t xml:space="preserve"> 321 paramos paraiška (toliau – paraiška), kur prašoma paramos suma sudaro 45,846 mln. Eur Europos jūrų reikalų ir žuvininkystės fondo (toliau – EJRŽF)[1] lėšų. Iš jų 68 paraiškos atmestos / išsiregistruotos, kurių prašoma paramos suma sudarė 9,155 mln. Eur. Pagal pateiktas paraiškas pasirašytos 230 paramos sutartis (toliau – sutartis) arba patvirtintos paraiškos, joms patvirtinta paramos suma – 32,762 mln. Eur, t. y. </w:t>
      </w:r>
      <w:r w:rsidRPr="00536B3B">
        <w:rPr>
          <w:rFonts w:ascii="Times New Roman" w:hAnsi="Times New Roman" w:cs="Times New Roman"/>
          <w:b/>
          <w:sz w:val="24"/>
          <w:szCs w:val="24"/>
          <w:lang w:val="lt-LT"/>
        </w:rPr>
        <w:t>beveik 52 proc.</w:t>
      </w:r>
      <w:r w:rsidRPr="00536B3B">
        <w:rPr>
          <w:rFonts w:ascii="Times New Roman" w:hAnsi="Times New Roman" w:cs="Times New Roman"/>
          <w:sz w:val="24"/>
          <w:szCs w:val="24"/>
          <w:lang w:val="lt-LT"/>
        </w:rPr>
        <w:t xml:space="preserve"> visai Veiksmų programai įgyvendinti skirtų lėšų. Per visą laikotarpį iki 2018 m. gruodžio 31 d. paramos gavėjams išmokėta 13,932 mln. Eur, o deklaruota Europos Komisijai (toliau – EK)  10,873 mln. Eur.  </w:t>
      </w:r>
      <w:r w:rsidR="007321D5" w:rsidRPr="00536B3B">
        <w:rPr>
          <w:rFonts w:ascii="Times New Roman" w:hAnsi="Times New Roman" w:cs="Times New Roman"/>
          <w:sz w:val="24"/>
          <w:szCs w:val="24"/>
          <w:lang w:val="lt-LT"/>
        </w:rPr>
        <w:t>2019 m. iki metines ataskaitos pateikimo dienos EK deklaruota dar 1,389 mln. Eur  paramos gavėjų 2018 m. apmokėtų lėšų</w:t>
      </w:r>
      <w:r w:rsidR="007321D5" w:rsidRPr="00536B3B">
        <w:rPr>
          <w:rFonts w:ascii="Times New Roman" w:hAnsi="Times New Roman" w:cs="Times New Roman"/>
          <w:sz w:val="24"/>
          <w:szCs w:val="24"/>
          <w:lang w:val="lt-LT"/>
        </w:rPr>
        <w:t xml:space="preserve">, t. y. </w:t>
      </w:r>
      <w:r w:rsidR="007321D5" w:rsidRPr="00536B3B">
        <w:rPr>
          <w:rFonts w:ascii="Times New Roman" w:hAnsi="Times New Roman" w:cs="Times New Roman"/>
          <w:b/>
          <w:sz w:val="24"/>
          <w:szCs w:val="24"/>
          <w:lang w:val="lt-LT"/>
        </w:rPr>
        <w:t>virš 1</w:t>
      </w:r>
      <w:r w:rsidR="007321D5" w:rsidRPr="00536B3B">
        <w:rPr>
          <w:rFonts w:ascii="Times New Roman" w:hAnsi="Times New Roman" w:cs="Times New Roman"/>
          <w:b/>
          <w:sz w:val="24"/>
          <w:szCs w:val="24"/>
          <w:lang w:val="lt-LT"/>
        </w:rPr>
        <w:t>9</w:t>
      </w:r>
      <w:r w:rsidR="007321D5" w:rsidRPr="00536B3B">
        <w:rPr>
          <w:rFonts w:ascii="Times New Roman" w:hAnsi="Times New Roman" w:cs="Times New Roman"/>
          <w:b/>
          <w:sz w:val="24"/>
          <w:szCs w:val="24"/>
          <w:lang w:val="lt-LT"/>
        </w:rPr>
        <w:t xml:space="preserve"> proc</w:t>
      </w:r>
      <w:r w:rsidR="007321D5" w:rsidRPr="00536B3B">
        <w:rPr>
          <w:rFonts w:ascii="Times New Roman" w:hAnsi="Times New Roman" w:cs="Times New Roman"/>
          <w:b/>
          <w:sz w:val="24"/>
          <w:szCs w:val="24"/>
          <w:lang w:val="lt-LT"/>
        </w:rPr>
        <w:t>.</w:t>
      </w:r>
      <w:r w:rsidR="007321D5" w:rsidRPr="00536B3B">
        <w:rPr>
          <w:rFonts w:ascii="Times New Roman" w:hAnsi="Times New Roman" w:cs="Times New Roman"/>
          <w:sz w:val="24"/>
          <w:szCs w:val="24"/>
          <w:lang w:val="lt-LT"/>
        </w:rPr>
        <w:t xml:space="preserve">  </w:t>
      </w:r>
      <w:r w:rsidR="007321D5" w:rsidRPr="00536B3B">
        <w:rPr>
          <w:rFonts w:ascii="Times New Roman" w:hAnsi="Times New Roman" w:cs="Times New Roman"/>
          <w:sz w:val="24"/>
          <w:szCs w:val="24"/>
          <w:lang w:val="lt-LT"/>
        </w:rPr>
        <w:t>Veiksmų programai įgyvendinti skirtų EJRŽF lėšų.</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b/>
          <w:bCs/>
          <w:sz w:val="24"/>
          <w:szCs w:val="24"/>
          <w:lang w:val="lt-LT"/>
        </w:rPr>
        <w:t xml:space="preserve">Paraiškų skaičius ir prašoma paramos suma </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 xml:space="preserve">Daugiausiai paraiškų gauta pagal 1 Sąjungos prioriteto (toliau </w:t>
      </w:r>
      <w:r w:rsidR="00F17048" w:rsidRPr="00536B3B">
        <w:rPr>
          <w:rFonts w:ascii="Times New Roman" w:hAnsi="Times New Roman" w:cs="Times New Roman"/>
          <w:sz w:val="24"/>
          <w:szCs w:val="24"/>
          <w:lang w:val="lt-LT"/>
        </w:rPr>
        <w:t>–</w:t>
      </w:r>
      <w:r w:rsidRPr="00536B3B">
        <w:rPr>
          <w:rFonts w:ascii="Times New Roman" w:hAnsi="Times New Roman" w:cs="Times New Roman"/>
          <w:sz w:val="24"/>
          <w:szCs w:val="24"/>
          <w:lang w:val="lt-LT"/>
        </w:rPr>
        <w:t xml:space="preserve"> SP) priemonę „Jūrų biologinės įvairovės išsaugojimas ir atkūrimas. Laimikiui  žinduolių ir paukščių padarytos žalos kompensavimo sistemos“ – 119 paramos paraiškų. 23 paraiškos gautos pagal 1 SP priemonę „Pridėtinė vertė, produktų kokybė ir nepageidaujamos priegaudos panaudojimas“. Taip pat 47 paraiškos gautos pagal 2 SP priemonę „Produktyvios investicijos į akvakultūrą“ ir 28 paraiškos pagal 5 SP priemonę „Žvejybos ir akvakultūros produktų perdirbimas“.</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Apibendrinant, daugiausiai paramos prašoma pagal 2 SP priemonę „Produktyvios investicijos į akvakultūrą“ – 7,202 mln. Eur., 4 SP priemonę „Vietos plėtros strategijų įgyvendinimas“ – 10,291 mln. Eur, 5 SP priemonę „Žvejybos ir akvakultūros produktų perdirbimas“ – 7,785 mln. Eur.</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b/>
          <w:bCs/>
          <w:sz w:val="24"/>
          <w:szCs w:val="24"/>
          <w:lang w:val="lt-LT"/>
        </w:rPr>
        <w:t>Tarpinių rodiklių (</w:t>
      </w:r>
      <w:proofErr w:type="spellStart"/>
      <w:r w:rsidRPr="00536B3B">
        <w:rPr>
          <w:rFonts w:ascii="Times New Roman" w:hAnsi="Times New Roman" w:cs="Times New Roman"/>
          <w:b/>
          <w:bCs/>
          <w:iCs/>
          <w:sz w:val="24"/>
          <w:szCs w:val="24"/>
          <w:lang w:val="lt-LT"/>
        </w:rPr>
        <w:t>ang</w:t>
      </w:r>
      <w:proofErr w:type="spellEnd"/>
      <w:r w:rsidRPr="00536B3B">
        <w:rPr>
          <w:rFonts w:ascii="Times New Roman" w:hAnsi="Times New Roman" w:cs="Times New Roman"/>
          <w:b/>
          <w:bCs/>
          <w:iCs/>
          <w:sz w:val="24"/>
          <w:szCs w:val="24"/>
          <w:lang w:val="lt-LT"/>
        </w:rPr>
        <w:t xml:space="preserve">. </w:t>
      </w:r>
      <w:proofErr w:type="spellStart"/>
      <w:r w:rsidRPr="00536B3B">
        <w:rPr>
          <w:rFonts w:ascii="Times New Roman" w:hAnsi="Times New Roman" w:cs="Times New Roman"/>
          <w:b/>
          <w:bCs/>
          <w:iCs/>
          <w:sz w:val="24"/>
          <w:szCs w:val="24"/>
          <w:lang w:val="lt-LT"/>
        </w:rPr>
        <w:t>milestones</w:t>
      </w:r>
      <w:proofErr w:type="spellEnd"/>
      <w:r w:rsidRPr="00536B3B">
        <w:rPr>
          <w:rFonts w:ascii="Times New Roman" w:hAnsi="Times New Roman" w:cs="Times New Roman"/>
          <w:b/>
          <w:bCs/>
          <w:sz w:val="24"/>
          <w:szCs w:val="24"/>
          <w:lang w:val="lt-LT"/>
        </w:rPr>
        <w:t>)[2] pasiekimas</w:t>
      </w:r>
    </w:p>
    <w:p w:rsidR="0093092B" w:rsidRPr="00536B3B" w:rsidRDefault="00F17048"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iCs/>
          <w:sz w:val="24"/>
          <w:szCs w:val="24"/>
          <w:lang w:val="lt-LT"/>
        </w:rPr>
        <w:t>Veiksmų programoje n</w:t>
      </w:r>
      <w:r w:rsidR="0093092B" w:rsidRPr="00536B3B">
        <w:rPr>
          <w:rFonts w:ascii="Times New Roman" w:hAnsi="Times New Roman" w:cs="Times New Roman"/>
          <w:iCs/>
          <w:sz w:val="24"/>
          <w:szCs w:val="24"/>
          <w:lang w:val="lt-LT"/>
        </w:rPr>
        <w:t xml:space="preserve">ustatytų produkto ir finansinio rodiklių tarpinės reikšmės daugiau nei 85 proc. buvo pasiektos 3 SP ir 5 SP. </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iCs/>
          <w:sz w:val="24"/>
          <w:szCs w:val="24"/>
          <w:lang w:val="lt-LT"/>
        </w:rPr>
        <w:t xml:space="preserve">1 SP ir 6 SP tiek produkto tiek finansinio rodiklių faktinės reikšmės sudarė mažiau nei 85 proc.  nustatytų tarpinių reikšmių. </w:t>
      </w:r>
    </w:p>
    <w:p w:rsidR="0093092B" w:rsidRPr="00536B3B" w:rsidRDefault="0093092B"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iCs/>
          <w:sz w:val="24"/>
          <w:szCs w:val="24"/>
          <w:lang w:val="lt-LT"/>
        </w:rPr>
        <w:t>2 SP produkto rodiklio faktinė reikšmė sudarė mažiau nei 85 proc.  nustatytos tarpinės reikšmės. 4 SP finansinio rodiklio faktinė reikšmė sudarė mažiau nei 85 proc.  nustatytos tarpinės reikšmės.</w:t>
      </w:r>
    </w:p>
    <w:tbl>
      <w:tblPr>
        <w:tblW w:w="9796" w:type="dxa"/>
        <w:tblInd w:w="-10" w:type="dxa"/>
        <w:tblLook w:val="04A0" w:firstRow="1" w:lastRow="0" w:firstColumn="1" w:lastColumn="0" w:noHBand="0" w:noVBand="1"/>
      </w:tblPr>
      <w:tblGrid>
        <w:gridCol w:w="4963"/>
        <w:gridCol w:w="1182"/>
        <w:gridCol w:w="1310"/>
        <w:gridCol w:w="932"/>
        <w:gridCol w:w="1409"/>
      </w:tblGrid>
      <w:tr w:rsidR="00A07434" w:rsidRPr="00536B3B" w:rsidTr="00536B3B">
        <w:trPr>
          <w:trHeight w:val="195"/>
        </w:trPr>
        <w:tc>
          <w:tcPr>
            <w:tcW w:w="0" w:type="auto"/>
            <w:vMerge w:val="restart"/>
            <w:tcBorders>
              <w:top w:val="single" w:sz="8" w:space="0" w:color="auto"/>
              <w:left w:val="single" w:sz="8" w:space="0" w:color="auto"/>
              <w:bottom w:val="nil"/>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bookmarkStart w:id="0" w:name="_GoBack"/>
            <w:bookmarkEnd w:id="0"/>
            <w:r w:rsidRPr="00B06E2F">
              <w:rPr>
                <w:rFonts w:ascii="Times New Roman" w:eastAsia="Times New Roman" w:hAnsi="Times New Roman" w:cs="Times New Roman"/>
                <w:b/>
                <w:bCs/>
                <w:color w:val="000000"/>
                <w:lang w:val="lt-LT" w:eastAsia="lt-LT"/>
              </w:rPr>
              <w:lastRenderedPageBreak/>
              <w:t>Veiklos rezultatų plane nustatyti rodikliai</w:t>
            </w:r>
          </w:p>
        </w:tc>
        <w:tc>
          <w:tcPr>
            <w:tcW w:w="1162" w:type="dxa"/>
            <w:vMerge w:val="restart"/>
            <w:tcBorders>
              <w:top w:val="single" w:sz="8" w:space="0" w:color="auto"/>
              <w:left w:val="single" w:sz="4" w:space="0" w:color="auto"/>
              <w:bottom w:val="nil"/>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2018 m. orientyras</w:t>
            </w:r>
          </w:p>
        </w:tc>
        <w:tc>
          <w:tcPr>
            <w:tcW w:w="2242" w:type="dxa"/>
            <w:gridSpan w:val="2"/>
            <w:tcBorders>
              <w:top w:val="single" w:sz="8" w:space="0" w:color="auto"/>
              <w:left w:val="nil"/>
              <w:bottom w:val="nil"/>
              <w:right w:val="single" w:sz="4" w:space="0" w:color="000000"/>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Pasiekimas iki</w:t>
            </w:r>
          </w:p>
        </w:tc>
        <w:tc>
          <w:tcPr>
            <w:tcW w:w="0" w:type="auto"/>
            <w:vMerge w:val="restart"/>
            <w:tcBorders>
              <w:top w:val="single" w:sz="8" w:space="0" w:color="auto"/>
              <w:left w:val="single" w:sz="4" w:space="0" w:color="auto"/>
              <w:bottom w:val="nil"/>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eastAsia="lt-LT"/>
              </w:rPr>
              <w:t xml:space="preserve">2023 m. </w:t>
            </w:r>
            <w:r w:rsidRPr="00B06E2F">
              <w:rPr>
                <w:rFonts w:ascii="Times New Roman" w:eastAsia="Times New Roman" w:hAnsi="Times New Roman" w:cs="Times New Roman"/>
                <w:b/>
                <w:bCs/>
                <w:color w:val="000000"/>
                <w:lang w:val="lt-LT" w:eastAsia="lt-LT"/>
              </w:rPr>
              <w:t>siektinos reikšmės</w:t>
            </w:r>
          </w:p>
        </w:tc>
      </w:tr>
      <w:tr w:rsidR="00536B3B" w:rsidRPr="00B06E2F" w:rsidTr="00536B3B">
        <w:trPr>
          <w:trHeight w:val="195"/>
        </w:trPr>
        <w:tc>
          <w:tcPr>
            <w:tcW w:w="0" w:type="auto"/>
            <w:vMerge/>
            <w:tcBorders>
              <w:top w:val="single" w:sz="8" w:space="0" w:color="auto"/>
              <w:left w:val="single" w:sz="8" w:space="0" w:color="auto"/>
              <w:bottom w:val="nil"/>
              <w:right w:val="single" w:sz="4"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c>
          <w:tcPr>
            <w:tcW w:w="1162" w:type="dxa"/>
            <w:vMerge/>
            <w:tcBorders>
              <w:top w:val="single" w:sz="8" w:space="0" w:color="auto"/>
              <w:left w:val="single" w:sz="4" w:space="0" w:color="auto"/>
              <w:bottom w:val="nil"/>
              <w:right w:val="single" w:sz="4"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c>
          <w:tcPr>
            <w:tcW w:w="2242" w:type="dxa"/>
            <w:gridSpan w:val="2"/>
            <w:tcBorders>
              <w:top w:val="nil"/>
              <w:left w:val="nil"/>
              <w:bottom w:val="nil"/>
              <w:right w:val="single" w:sz="4" w:space="0" w:color="000000"/>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2018.12.31+2019 m.*</w:t>
            </w:r>
          </w:p>
        </w:tc>
        <w:tc>
          <w:tcPr>
            <w:tcW w:w="0" w:type="auto"/>
            <w:vMerge/>
            <w:tcBorders>
              <w:top w:val="single" w:sz="8" w:space="0" w:color="auto"/>
              <w:left w:val="single" w:sz="4" w:space="0" w:color="auto"/>
              <w:bottom w:val="nil"/>
              <w:right w:val="single" w:sz="8"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r>
      <w:tr w:rsidR="00A07434" w:rsidRPr="00536B3B" w:rsidTr="00536B3B">
        <w:trPr>
          <w:trHeight w:val="37"/>
        </w:trPr>
        <w:tc>
          <w:tcPr>
            <w:tcW w:w="0" w:type="auto"/>
            <w:vMerge/>
            <w:tcBorders>
              <w:top w:val="single" w:sz="8" w:space="0" w:color="auto"/>
              <w:left w:val="single" w:sz="8" w:space="0" w:color="auto"/>
              <w:bottom w:val="nil"/>
              <w:right w:val="single" w:sz="4"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c>
          <w:tcPr>
            <w:tcW w:w="1162" w:type="dxa"/>
            <w:vMerge/>
            <w:tcBorders>
              <w:top w:val="single" w:sz="8" w:space="0" w:color="auto"/>
              <w:left w:val="single" w:sz="4" w:space="0" w:color="auto"/>
              <w:bottom w:val="nil"/>
              <w:right w:val="single" w:sz="4"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c>
          <w:tcPr>
            <w:tcW w:w="2242" w:type="dxa"/>
            <w:gridSpan w:val="2"/>
            <w:tcBorders>
              <w:top w:val="nil"/>
              <w:left w:val="nil"/>
              <w:bottom w:val="nil"/>
              <w:right w:val="single" w:sz="4" w:space="0" w:color="000000"/>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 </w:t>
            </w:r>
          </w:p>
        </w:tc>
        <w:tc>
          <w:tcPr>
            <w:tcW w:w="0" w:type="auto"/>
            <w:vMerge/>
            <w:tcBorders>
              <w:top w:val="single" w:sz="8" w:space="0" w:color="auto"/>
              <w:left w:val="single" w:sz="4" w:space="0" w:color="auto"/>
              <w:bottom w:val="nil"/>
              <w:right w:val="single" w:sz="8" w:space="0" w:color="auto"/>
            </w:tcBorders>
            <w:vAlign w:val="center"/>
            <w:hideMark/>
          </w:tcPr>
          <w:p w:rsidR="00B06E2F" w:rsidRPr="00B06E2F" w:rsidRDefault="00B06E2F" w:rsidP="00B06E2F">
            <w:pPr>
              <w:spacing w:after="0" w:line="240" w:lineRule="auto"/>
              <w:rPr>
                <w:rFonts w:ascii="Times New Roman" w:eastAsia="Times New Roman" w:hAnsi="Times New Roman" w:cs="Times New Roman"/>
                <w:b/>
                <w:bCs/>
                <w:color w:val="000000"/>
                <w:lang w:val="lt-LT" w:eastAsia="lt-LT"/>
              </w:rPr>
            </w:pP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1 Sąjungos prioritetas</w:t>
            </w:r>
          </w:p>
        </w:tc>
      </w:tr>
      <w:tr w:rsidR="00A07434" w:rsidRPr="00536B3B" w:rsidTr="00536B3B">
        <w:trPr>
          <w:trHeight w:val="78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Pridėtinei vertei, kokybei, nepageidaujamos priegaudos panaudojimui, taip pat žvejybos uostams, iškrovimo aikštelėms, žuvų aukcionų salėms ir pastogėms skirtų projektų skaičius, vnt.</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kern w:val="24"/>
                <w:lang w:val="lt-LT"/>
              </w:rPr>
              <w:t>8</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6</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75%</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eastAsia="lt-LT"/>
              </w:rPr>
              <w:t>27</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2,5</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1,082</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43%</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13,88</w:t>
            </w: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2 Sąjungos prioritetas</w:t>
            </w:r>
          </w:p>
        </w:tc>
      </w:tr>
      <w:tr w:rsidR="00A07434" w:rsidRPr="00536B3B" w:rsidTr="00536B3B">
        <w:trPr>
          <w:trHeight w:val="39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Gamybinėms investicijoms į akvakultūrą skirtų projektų skaičius, vnt.</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rPr>
              <w:t>22</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18</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82%</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rPr>
              <w:t>64</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4,967</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lang w:val="lt-LT" w:eastAsia="lt-LT"/>
              </w:rPr>
            </w:pPr>
            <w:r w:rsidRPr="00B06E2F">
              <w:rPr>
                <w:rFonts w:ascii="Times New Roman" w:eastAsia="Times New Roman" w:hAnsi="Times New Roman" w:cs="Times New Roman"/>
                <w:lang w:val="lt-LT" w:eastAsia="lt-LT"/>
              </w:rPr>
              <w:t>7,027</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lang w:val="lt-LT" w:eastAsia="lt-LT"/>
              </w:rPr>
            </w:pPr>
            <w:r w:rsidRPr="00B06E2F">
              <w:rPr>
                <w:rFonts w:ascii="Times New Roman" w:eastAsia="Times New Roman" w:hAnsi="Times New Roman" w:cs="Times New Roman"/>
                <w:lang w:val="lt-LT" w:eastAsia="lt-LT"/>
              </w:rPr>
              <w:t>141%</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28,29</w:t>
            </w: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3 Sąjungos prioritetas</w:t>
            </w:r>
          </w:p>
        </w:tc>
      </w:tr>
      <w:tr w:rsidR="00A07434" w:rsidRPr="00536B3B" w:rsidTr="00536B3B">
        <w:trPr>
          <w:trHeight w:val="58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 xml:space="preserve">Sąjungos kontrolės, inspektavimo ir reikalavimų vykdymo užtikrinimo sistemai skirtų projektų skaičius, vnt. </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rPr>
              <w:t>1</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3</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300%</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rPr>
              <w:t>2</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1,15</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3,258</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283%</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8,67</w:t>
            </w: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4 Sąjungos prioritetas</w:t>
            </w:r>
          </w:p>
        </w:tc>
      </w:tr>
      <w:tr w:rsidR="00A07434" w:rsidRPr="00536B3B" w:rsidTr="00536B3B">
        <w:trPr>
          <w:trHeight w:val="19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Atrinktų vietos plėtros strategijų skaičius, vnt.</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kern w:val="24"/>
                <w:lang w:val="lt-LT" w:eastAsia="lt-LT"/>
              </w:rPr>
              <w:t>7</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9</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129%</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kern w:val="24"/>
                <w:lang w:val="lt-LT" w:eastAsia="lt-LT"/>
              </w:rPr>
              <w:t>7</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1,527</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0,544</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36%</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12,23</w:t>
            </w: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5 Sąjungos prioritetas</w:t>
            </w:r>
          </w:p>
        </w:tc>
      </w:tr>
      <w:tr w:rsidR="00A07434" w:rsidRPr="00536B3B" w:rsidTr="00536B3B">
        <w:trPr>
          <w:trHeight w:val="195"/>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Perdirbimui skirtų projektų skaičius, vnt.</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bCs/>
                <w:color w:val="000000"/>
                <w:kern w:val="24"/>
                <w:lang w:val="lt-LT" w:eastAsia="lt-LT"/>
              </w:rPr>
              <w:t>2</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8</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400%</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5</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2,464</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2,73</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111%</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12,3</w:t>
            </w:r>
          </w:p>
        </w:tc>
      </w:tr>
      <w:tr w:rsidR="00B06E2F" w:rsidRPr="00B06E2F" w:rsidTr="00536B3B">
        <w:trPr>
          <w:trHeight w:val="195"/>
        </w:trPr>
        <w:tc>
          <w:tcPr>
            <w:tcW w:w="0" w:type="auto"/>
            <w:gridSpan w:val="5"/>
            <w:tcBorders>
              <w:top w:val="single" w:sz="8" w:space="0" w:color="auto"/>
              <w:left w:val="single" w:sz="8" w:space="0" w:color="auto"/>
              <w:bottom w:val="single" w:sz="4" w:space="0" w:color="auto"/>
              <w:right w:val="single" w:sz="8" w:space="0" w:color="000000"/>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b/>
                <w:bCs/>
                <w:color w:val="000000"/>
                <w:lang w:val="lt-LT" w:eastAsia="lt-LT"/>
              </w:rPr>
            </w:pPr>
            <w:r w:rsidRPr="00B06E2F">
              <w:rPr>
                <w:rFonts w:ascii="Times New Roman" w:eastAsia="Times New Roman" w:hAnsi="Times New Roman" w:cs="Times New Roman"/>
                <w:b/>
                <w:bCs/>
                <w:color w:val="000000"/>
                <w:lang w:val="lt-LT" w:eastAsia="lt-LT"/>
              </w:rPr>
              <w:t>6 Sąjungos prioritetas</w:t>
            </w:r>
          </w:p>
        </w:tc>
      </w:tr>
      <w:tr w:rsidR="00A07434" w:rsidRPr="00536B3B" w:rsidTr="00536B3B">
        <w:trPr>
          <w:trHeight w:val="39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 xml:space="preserve">Jūrų aplinkos žinių apsaugai ir gerinimui skirtų projektų skaičius, vnt. </w:t>
            </w:r>
          </w:p>
        </w:tc>
        <w:tc>
          <w:tcPr>
            <w:tcW w:w="1162"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w:t>
            </w:r>
          </w:p>
        </w:tc>
        <w:tc>
          <w:tcPr>
            <w:tcW w:w="1310" w:type="dxa"/>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0</w:t>
            </w:r>
          </w:p>
        </w:tc>
        <w:tc>
          <w:tcPr>
            <w:tcW w:w="0" w:type="auto"/>
            <w:tcBorders>
              <w:top w:val="nil"/>
              <w:left w:val="nil"/>
              <w:bottom w:val="single" w:sz="4"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0%</w:t>
            </w:r>
          </w:p>
        </w:tc>
        <w:tc>
          <w:tcPr>
            <w:tcW w:w="0" w:type="auto"/>
            <w:tcBorders>
              <w:top w:val="nil"/>
              <w:left w:val="nil"/>
              <w:bottom w:val="single" w:sz="4" w:space="0" w:color="auto"/>
              <w:right w:val="single" w:sz="8"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3</w:t>
            </w:r>
          </w:p>
        </w:tc>
      </w:tr>
      <w:tr w:rsidR="00A07434" w:rsidRPr="00536B3B" w:rsidTr="00536B3B">
        <w:trPr>
          <w:trHeight w:val="204"/>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Finansinis rodiklis, mln. Eur</w:t>
            </w:r>
          </w:p>
        </w:tc>
        <w:tc>
          <w:tcPr>
            <w:tcW w:w="1162" w:type="dxa"/>
            <w:tcBorders>
              <w:top w:val="nil"/>
              <w:left w:val="nil"/>
              <w:bottom w:val="single" w:sz="8" w:space="0" w:color="auto"/>
              <w:right w:val="single" w:sz="4"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0,2</w:t>
            </w:r>
          </w:p>
        </w:tc>
        <w:tc>
          <w:tcPr>
            <w:tcW w:w="1310" w:type="dxa"/>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0</w:t>
            </w:r>
          </w:p>
        </w:tc>
        <w:tc>
          <w:tcPr>
            <w:tcW w:w="0" w:type="auto"/>
            <w:tcBorders>
              <w:top w:val="nil"/>
              <w:left w:val="nil"/>
              <w:bottom w:val="single" w:sz="8" w:space="0" w:color="auto"/>
              <w:right w:val="single" w:sz="4" w:space="0" w:color="auto"/>
            </w:tcBorders>
            <w:shd w:val="clear" w:color="auto" w:fill="auto"/>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FF0000"/>
                <w:lang w:val="lt-LT" w:eastAsia="lt-LT"/>
              </w:rPr>
            </w:pPr>
            <w:r w:rsidRPr="00B06E2F">
              <w:rPr>
                <w:rFonts w:ascii="Times New Roman" w:eastAsia="Times New Roman" w:hAnsi="Times New Roman" w:cs="Times New Roman"/>
                <w:color w:val="FF0000"/>
                <w:lang w:val="lt-LT" w:eastAsia="lt-LT"/>
              </w:rPr>
              <w:t>0%</w:t>
            </w:r>
          </w:p>
        </w:tc>
        <w:tc>
          <w:tcPr>
            <w:tcW w:w="0" w:type="auto"/>
            <w:tcBorders>
              <w:top w:val="nil"/>
              <w:left w:val="nil"/>
              <w:bottom w:val="single" w:sz="8" w:space="0" w:color="auto"/>
              <w:right w:val="single" w:sz="8" w:space="0" w:color="auto"/>
            </w:tcBorders>
            <w:shd w:val="clear" w:color="auto" w:fill="auto"/>
            <w:noWrap/>
            <w:vAlign w:val="center"/>
            <w:hideMark/>
          </w:tcPr>
          <w:p w:rsidR="00B06E2F" w:rsidRPr="00B06E2F" w:rsidRDefault="00B06E2F" w:rsidP="00B06E2F">
            <w:pPr>
              <w:spacing w:after="0" w:line="240" w:lineRule="auto"/>
              <w:jc w:val="center"/>
              <w:rPr>
                <w:rFonts w:ascii="Times New Roman" w:eastAsia="Times New Roman" w:hAnsi="Times New Roman" w:cs="Times New Roman"/>
                <w:color w:val="000000"/>
                <w:lang w:val="lt-LT" w:eastAsia="lt-LT"/>
              </w:rPr>
            </w:pPr>
            <w:r w:rsidRPr="00B06E2F">
              <w:rPr>
                <w:rFonts w:ascii="Times New Roman" w:eastAsia="Times New Roman" w:hAnsi="Times New Roman" w:cs="Times New Roman"/>
                <w:color w:val="000000"/>
                <w:lang w:val="lt-LT" w:eastAsia="lt-LT"/>
              </w:rPr>
              <w:t>1,33</w:t>
            </w:r>
          </w:p>
        </w:tc>
      </w:tr>
    </w:tbl>
    <w:p w:rsidR="00A07434" w:rsidRPr="00536B3B" w:rsidRDefault="00A07434" w:rsidP="00F17048">
      <w:pPr>
        <w:spacing w:after="0" w:line="360" w:lineRule="auto"/>
        <w:ind w:firstLine="720"/>
        <w:jc w:val="both"/>
        <w:rPr>
          <w:rFonts w:ascii="Times New Roman" w:hAnsi="Times New Roman" w:cs="Times New Roman"/>
          <w:i/>
          <w:sz w:val="18"/>
          <w:szCs w:val="18"/>
          <w:lang w:val="lt-LT"/>
        </w:rPr>
      </w:pPr>
      <w:r w:rsidRPr="00536B3B">
        <w:rPr>
          <w:rFonts w:ascii="Times New Roman" w:hAnsi="Times New Roman" w:cs="Times New Roman"/>
          <w:i/>
          <w:sz w:val="18"/>
          <w:szCs w:val="18"/>
          <w:lang w:val="lt-LT"/>
        </w:rPr>
        <w:t>* finansinio rodiklio pasiekimo reikšmė apskaičiuota sudėjus iki 2018 m. pabaigos sertifikavimo institucijos EK deklaruotas lėšas ir  2019 m. iki metines ataskaitos pateikimo dienos EK deklaruotas paramos gavėjų 2018 m. apmokėtas paramos lėšas.</w:t>
      </w:r>
    </w:p>
    <w:p w:rsidR="00491A1F" w:rsidRPr="00536B3B" w:rsidRDefault="00A07434" w:rsidP="00F17048">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Pagrindinė neapsiekimų priežastis</w:t>
      </w:r>
      <w:r w:rsidR="0093092B" w:rsidRPr="00536B3B">
        <w:rPr>
          <w:rFonts w:ascii="Times New Roman" w:hAnsi="Times New Roman" w:cs="Times New Roman"/>
          <w:sz w:val="24"/>
          <w:szCs w:val="24"/>
          <w:lang w:val="lt-LT"/>
        </w:rPr>
        <w:t xml:space="preserve"> </w:t>
      </w:r>
      <w:r w:rsidRPr="00536B3B">
        <w:rPr>
          <w:rFonts w:ascii="Times New Roman" w:hAnsi="Times New Roman" w:cs="Times New Roman"/>
          <w:sz w:val="24"/>
          <w:szCs w:val="24"/>
          <w:lang w:val="lt-LT"/>
        </w:rPr>
        <w:t>–</w:t>
      </w:r>
      <w:r w:rsidR="0093092B" w:rsidRPr="00536B3B">
        <w:rPr>
          <w:rFonts w:ascii="Times New Roman" w:hAnsi="Times New Roman" w:cs="Times New Roman"/>
          <w:sz w:val="24"/>
          <w:szCs w:val="24"/>
          <w:lang w:val="lt-LT"/>
        </w:rPr>
        <w:t xml:space="preserve"> </w:t>
      </w:r>
      <w:r w:rsidRPr="00536B3B">
        <w:rPr>
          <w:rFonts w:ascii="Times New Roman" w:hAnsi="Times New Roman" w:cs="Times New Roman"/>
          <w:sz w:val="24"/>
          <w:szCs w:val="24"/>
          <w:lang w:val="lt-LT"/>
        </w:rPr>
        <w:t xml:space="preserve">vėlyva </w:t>
      </w:r>
      <w:r w:rsidR="0093092B" w:rsidRPr="00536B3B">
        <w:rPr>
          <w:rFonts w:ascii="Times New Roman" w:hAnsi="Times New Roman" w:cs="Times New Roman"/>
          <w:sz w:val="24"/>
          <w:szCs w:val="24"/>
          <w:lang w:val="lt-LT"/>
        </w:rPr>
        <w:t>Veiksmų programos įgyvendinimo pradžia</w:t>
      </w:r>
      <w:r w:rsidRPr="00536B3B">
        <w:rPr>
          <w:rFonts w:ascii="Times New Roman" w:hAnsi="Times New Roman" w:cs="Times New Roman"/>
          <w:sz w:val="24"/>
          <w:szCs w:val="24"/>
          <w:lang w:val="lt-LT"/>
        </w:rPr>
        <w:t xml:space="preserve"> (EJRŽF reglamentas patvirtintas tik 2014 m., o Veiksmų programa tik 2015 m</w:t>
      </w:r>
      <w:r w:rsidR="0093092B" w:rsidRPr="00536B3B">
        <w:rPr>
          <w:rFonts w:ascii="Times New Roman" w:hAnsi="Times New Roman" w:cs="Times New Roman"/>
          <w:sz w:val="24"/>
          <w:szCs w:val="24"/>
          <w:lang w:val="lt-LT"/>
        </w:rPr>
        <w:t>.</w:t>
      </w:r>
      <w:r w:rsidRPr="00536B3B">
        <w:rPr>
          <w:rFonts w:ascii="Times New Roman" w:hAnsi="Times New Roman" w:cs="Times New Roman"/>
          <w:sz w:val="24"/>
          <w:szCs w:val="24"/>
          <w:lang w:val="lt-LT"/>
        </w:rPr>
        <w:t>)</w:t>
      </w:r>
      <w:r w:rsidR="0093092B" w:rsidRPr="00536B3B">
        <w:rPr>
          <w:rFonts w:ascii="Times New Roman" w:hAnsi="Times New Roman" w:cs="Times New Roman"/>
          <w:sz w:val="24"/>
          <w:szCs w:val="24"/>
          <w:lang w:val="lt-LT"/>
        </w:rPr>
        <w:t xml:space="preserve"> Atitinkamai daugelyje SP pritrūko laiko pasiekti nustatytą rezultatą.</w:t>
      </w:r>
    </w:p>
    <w:p w:rsidR="00A07434" w:rsidRPr="00536B3B" w:rsidRDefault="00A07434" w:rsidP="00F17048">
      <w:pPr>
        <w:pStyle w:val="Betarp"/>
        <w:spacing w:line="360" w:lineRule="auto"/>
        <w:ind w:firstLine="720"/>
        <w:jc w:val="both"/>
        <w:rPr>
          <w:b/>
          <w:lang w:val="lt-LT"/>
        </w:rPr>
      </w:pPr>
      <w:r w:rsidRPr="00536B3B">
        <w:rPr>
          <w:b/>
          <w:lang w:val="lt-LT"/>
        </w:rPr>
        <w:t xml:space="preserve">Esminių teigiamų pokyčių, atsiradusių sektoriuose dėl </w:t>
      </w:r>
      <w:r w:rsidRPr="00536B3B">
        <w:rPr>
          <w:b/>
          <w:lang w:val="lt-LT"/>
        </w:rPr>
        <w:t>Veiksmų programos įgyvendinimo, apžvalga</w:t>
      </w:r>
    </w:p>
    <w:p w:rsidR="00F17048" w:rsidRPr="00536B3B" w:rsidRDefault="00A07434" w:rsidP="00F17048">
      <w:pPr>
        <w:pStyle w:val="Betarp"/>
        <w:spacing w:line="360" w:lineRule="auto"/>
        <w:ind w:firstLine="720"/>
        <w:jc w:val="both"/>
        <w:rPr>
          <w:szCs w:val="24"/>
          <w:lang w:val="lt-LT"/>
        </w:rPr>
      </w:pPr>
      <w:r w:rsidRPr="00536B3B">
        <w:rPr>
          <w:b/>
        </w:rPr>
        <w:t xml:space="preserve"> </w:t>
      </w:r>
      <w:r w:rsidRPr="00536B3B">
        <w:rPr>
          <w:szCs w:val="24"/>
          <w:lang w:val="lt-LT"/>
        </w:rPr>
        <w:t xml:space="preserve"> </w:t>
      </w:r>
      <w:r w:rsidR="00F17048" w:rsidRPr="00536B3B">
        <w:rPr>
          <w:szCs w:val="24"/>
          <w:lang w:val="lt-LT"/>
        </w:rPr>
        <w:t xml:space="preserve">Reikšminga pagalba priekrantės žvejams yra pagal priemonę „Jūrų biologinės įvairovės išsaugojimas ir atkūrimas. Laimikiui žinduolių ir paukščių padarytos žalos kompensavimo sistemos" teikiamos kompensacijos už ruonių daromą žalą.  Priekrantės žvejai ne tik naudojasi galimybe gauti kompensacijas pagal minėtą priemonę, bet ir </w:t>
      </w:r>
      <w:r w:rsidRPr="00536B3B">
        <w:rPr>
          <w:szCs w:val="24"/>
          <w:lang w:val="lt-LT"/>
        </w:rPr>
        <w:t xml:space="preserve">pradėjo </w:t>
      </w:r>
      <w:r w:rsidR="00F17048" w:rsidRPr="00536B3B">
        <w:rPr>
          <w:szCs w:val="24"/>
          <w:lang w:val="lt-LT"/>
        </w:rPr>
        <w:t>aktyviai dalyvauja investicinėse priemonėse</w:t>
      </w:r>
      <w:r w:rsidR="00876AC5" w:rsidRPr="00536B3B">
        <w:rPr>
          <w:szCs w:val="24"/>
          <w:lang w:val="lt-LT"/>
        </w:rPr>
        <w:t xml:space="preserve">: </w:t>
      </w:r>
      <w:r w:rsidR="00876AC5" w:rsidRPr="00536B3B">
        <w:rPr>
          <w:szCs w:val="24"/>
          <w:lang w:val="lt-LT"/>
        </w:rPr>
        <w:t xml:space="preserve">„Žvejybos poveikio jūrų aplinkai mažinimas ir žvejybos pritaikymas gyvūnų apsaugai“ </w:t>
      </w:r>
      <w:r w:rsidR="00876AC5" w:rsidRPr="00536B3B">
        <w:rPr>
          <w:szCs w:val="24"/>
          <w:lang w:val="lt-LT"/>
        </w:rPr>
        <w:t>(</w:t>
      </w:r>
      <w:r w:rsidR="00876AC5" w:rsidRPr="00536B3B">
        <w:rPr>
          <w:szCs w:val="24"/>
          <w:lang w:val="lt-LT"/>
        </w:rPr>
        <w:t xml:space="preserve">parama teikiama investicijoms į selektyvesnius žvejybos įrankius. Pagal šią priemonę iki 2018 m. pabaigos parama skirta 12 žvejybos įmonių, dar 5 paramos paraiškos 2018 m. </w:t>
      </w:r>
      <w:r w:rsidR="00876AC5" w:rsidRPr="00536B3B">
        <w:rPr>
          <w:szCs w:val="24"/>
          <w:lang w:val="lt-LT"/>
        </w:rPr>
        <w:t xml:space="preserve">pabaigoje buvo vertinamos) ir „Pridėtinė vertė, </w:t>
      </w:r>
      <w:r w:rsidR="00876AC5" w:rsidRPr="00536B3B">
        <w:rPr>
          <w:szCs w:val="24"/>
          <w:lang w:val="lt-LT"/>
        </w:rPr>
        <w:lastRenderedPageBreak/>
        <w:t xml:space="preserve">produktų kokybė ir nepageidaujamos priegaudos panaudojimas“ (parama teikiama norint investuoti į savo sužvejoto laimikio pridėtinės vertės kūrimą (pvz., perdirbimą, pirminį pardavimą), taip pat remiamos investicijos, skirtos pagerinti ar išlaikyti sužvejoto laimikio kokybę. Pagal šią priemonę 2018 m. parama skirta 11 žvejybos įmonių.) </w:t>
      </w:r>
      <w:r w:rsidR="00F17048" w:rsidRPr="00536B3B">
        <w:rPr>
          <w:szCs w:val="24"/>
          <w:lang w:val="lt-LT"/>
        </w:rPr>
        <w:t xml:space="preserve"> Ankstesniaisiais paramos teikimo laikotarpiais (iki 2014–2020 metų </w:t>
      </w:r>
      <w:r w:rsidRPr="00536B3B">
        <w:rPr>
          <w:szCs w:val="24"/>
          <w:lang w:val="lt-LT"/>
        </w:rPr>
        <w:t>V</w:t>
      </w:r>
      <w:r w:rsidR="00F17048" w:rsidRPr="00536B3B">
        <w:rPr>
          <w:szCs w:val="24"/>
          <w:lang w:val="lt-LT"/>
        </w:rPr>
        <w:t xml:space="preserve">eiksmų programos įgyvendinimo) žvejai buvo aktyvūs tik kompensacinėse pasitraukimo iš žvejybos verslo priemonėse.   </w:t>
      </w:r>
    </w:p>
    <w:p w:rsidR="00F17048" w:rsidRPr="00536B3B" w:rsidRDefault="00F17048" w:rsidP="00F17048">
      <w:pPr>
        <w:pStyle w:val="Betarp"/>
        <w:spacing w:line="360" w:lineRule="auto"/>
        <w:ind w:firstLine="720"/>
        <w:jc w:val="both"/>
        <w:rPr>
          <w:szCs w:val="24"/>
          <w:lang w:val="lt-LT"/>
        </w:rPr>
      </w:pPr>
      <w:r w:rsidRPr="00536B3B">
        <w:rPr>
          <w:szCs w:val="24"/>
          <w:lang w:val="lt-LT"/>
        </w:rPr>
        <w:t xml:space="preserve">  Šiuo paramos teikimo laikotarpiu toliau aktyviai investuojama į Lietuvos akvakultūros sektorių. Pagal priemonę „Produktyvios investicijos į akvakultūrą“  </w:t>
      </w:r>
      <w:r w:rsidR="00536B3B" w:rsidRPr="00536B3B">
        <w:rPr>
          <w:szCs w:val="24"/>
          <w:lang w:val="lt-LT"/>
        </w:rPr>
        <w:t>parama jau</w:t>
      </w:r>
      <w:r w:rsidRPr="00536B3B">
        <w:rPr>
          <w:szCs w:val="24"/>
          <w:lang w:val="lt-LT"/>
        </w:rPr>
        <w:t xml:space="preserve"> skirta 27 akvakultūros projektams; 9 iš jų – modernizuojami tvenkinių akvakultūros ūkiai, 18 – numatoma plėsti gamybą uždarose akvakultūros sistemose: įgyvendinus projektus, papildomai užauginti per 300 t afrikinių šamų, per 300 t upėtakių, taip pat planuojama auginti eršketus, </w:t>
      </w:r>
      <w:proofErr w:type="spellStart"/>
      <w:r w:rsidRPr="00536B3B">
        <w:rPr>
          <w:szCs w:val="24"/>
          <w:lang w:val="lt-LT"/>
        </w:rPr>
        <w:t>tilapijas</w:t>
      </w:r>
      <w:proofErr w:type="spellEnd"/>
      <w:r w:rsidRPr="00536B3B">
        <w:rPr>
          <w:szCs w:val="24"/>
          <w:lang w:val="lt-LT"/>
        </w:rPr>
        <w:t>, krevetes, vėžius ir dumblius (</w:t>
      </w:r>
      <w:r w:rsidRPr="00536B3B">
        <w:rPr>
          <w:i/>
          <w:szCs w:val="24"/>
          <w:lang w:val="lt-LT"/>
        </w:rPr>
        <w:t>palyginimui: 2018 m. Lietuvos akvakultūros įmonės uždarose akvakultūros sistemose iš viso užaugino ir realizavo 357,2 t žuvų</w:t>
      </w:r>
      <w:r w:rsidRPr="00536B3B">
        <w:rPr>
          <w:szCs w:val="24"/>
          <w:lang w:val="lt-LT"/>
        </w:rPr>
        <w:t xml:space="preserve">). </w:t>
      </w:r>
    </w:p>
    <w:p w:rsidR="00A07434" w:rsidRPr="00536B3B" w:rsidRDefault="00F17048" w:rsidP="00536B3B">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2014–2020 m. laikotarpiu paramą perdirbimui gali gauti tik vidutinės, mažos ir labai mažos įmonės, o prioritetas teikiamas savo produkciją perdirbti ketinančioms akvakultūros įmonėms. Pagal priemonę „Žvejybos ir akvakultūros produktų perdirbimas“ paramos skirta 13 įmonių, iš kurių 7 užsiima akvakultūros gamyba. Ateityje tikimasi dar didesnio akvakultūros įmonių aktyvumo</w:t>
      </w:r>
      <w:r w:rsidR="00536B3B" w:rsidRPr="00536B3B">
        <w:rPr>
          <w:rFonts w:ascii="Times New Roman" w:hAnsi="Times New Roman" w:cs="Times New Roman"/>
          <w:sz w:val="24"/>
          <w:szCs w:val="24"/>
          <w:lang w:val="lt-LT"/>
        </w:rPr>
        <w:t xml:space="preserve">. </w:t>
      </w:r>
    </w:p>
    <w:p w:rsidR="00A07434" w:rsidRPr="00536B3B" w:rsidRDefault="00A07434" w:rsidP="00A07434">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 xml:space="preserve">[1] Ataskaitoje finansiniai duomenys pateikiami nurodant tik </w:t>
      </w:r>
      <w:r w:rsidR="00536B3B" w:rsidRPr="00536B3B">
        <w:rPr>
          <w:rFonts w:ascii="Times New Roman" w:hAnsi="Times New Roman" w:cs="Times New Roman"/>
          <w:sz w:val="24"/>
          <w:szCs w:val="24"/>
          <w:lang w:val="lt-LT"/>
        </w:rPr>
        <w:t>ES (</w:t>
      </w:r>
      <w:r w:rsidRPr="00536B3B">
        <w:rPr>
          <w:rFonts w:ascii="Times New Roman" w:hAnsi="Times New Roman" w:cs="Times New Roman"/>
          <w:sz w:val="24"/>
          <w:szCs w:val="24"/>
          <w:lang w:val="lt-LT"/>
        </w:rPr>
        <w:t>EJRŽF</w:t>
      </w:r>
      <w:r w:rsidR="00536B3B" w:rsidRPr="00536B3B">
        <w:rPr>
          <w:rFonts w:ascii="Times New Roman" w:hAnsi="Times New Roman" w:cs="Times New Roman"/>
          <w:sz w:val="24"/>
          <w:szCs w:val="24"/>
          <w:lang w:val="lt-LT"/>
        </w:rPr>
        <w:t>) paramos</w:t>
      </w:r>
      <w:r w:rsidRPr="00536B3B">
        <w:rPr>
          <w:rFonts w:ascii="Times New Roman" w:hAnsi="Times New Roman" w:cs="Times New Roman"/>
          <w:sz w:val="24"/>
          <w:szCs w:val="24"/>
          <w:lang w:val="lt-LT"/>
        </w:rPr>
        <w:t xml:space="preserve"> dalį</w:t>
      </w:r>
    </w:p>
    <w:p w:rsidR="00A07434" w:rsidRPr="00536B3B" w:rsidRDefault="00A07434" w:rsidP="00A07434">
      <w:pPr>
        <w:spacing w:after="0" w:line="360" w:lineRule="auto"/>
        <w:ind w:firstLine="720"/>
        <w:jc w:val="both"/>
        <w:rPr>
          <w:rFonts w:ascii="Times New Roman" w:hAnsi="Times New Roman" w:cs="Times New Roman"/>
          <w:sz w:val="24"/>
          <w:szCs w:val="24"/>
          <w:lang w:val="lt-LT"/>
        </w:rPr>
      </w:pPr>
      <w:r w:rsidRPr="00536B3B">
        <w:rPr>
          <w:rFonts w:ascii="Times New Roman" w:hAnsi="Times New Roman" w:cs="Times New Roman"/>
          <w:sz w:val="24"/>
          <w:szCs w:val="24"/>
          <w:lang w:val="lt-LT"/>
        </w:rPr>
        <w:t xml:space="preserve">[2] Finansinio rodiklio pasiekimas pateiktas pagal ES + LT </w:t>
      </w:r>
      <w:r w:rsidR="00536B3B" w:rsidRPr="00536B3B">
        <w:rPr>
          <w:rFonts w:ascii="Times New Roman" w:hAnsi="Times New Roman" w:cs="Times New Roman"/>
          <w:sz w:val="24"/>
          <w:szCs w:val="24"/>
          <w:lang w:val="lt-LT"/>
        </w:rPr>
        <w:t xml:space="preserve">paramos </w:t>
      </w:r>
      <w:r w:rsidRPr="00536B3B">
        <w:rPr>
          <w:rFonts w:ascii="Times New Roman" w:hAnsi="Times New Roman" w:cs="Times New Roman"/>
          <w:sz w:val="24"/>
          <w:szCs w:val="24"/>
          <w:lang w:val="lt-LT"/>
        </w:rPr>
        <w:t>dalis</w:t>
      </w:r>
    </w:p>
    <w:sectPr w:rsidR="00A07434" w:rsidRPr="00536B3B">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50D" w:rsidRDefault="0083750D" w:rsidP="00454E73">
      <w:pPr>
        <w:spacing w:after="0" w:line="240" w:lineRule="auto"/>
      </w:pPr>
      <w:r>
        <w:separator/>
      </w:r>
    </w:p>
  </w:endnote>
  <w:endnote w:type="continuationSeparator" w:id="0">
    <w:p w:rsidR="0083750D" w:rsidRDefault="0083750D" w:rsidP="00454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altName w:val="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50D" w:rsidRDefault="0083750D" w:rsidP="00454E73">
      <w:pPr>
        <w:spacing w:after="0" w:line="240" w:lineRule="auto"/>
      </w:pPr>
      <w:r>
        <w:separator/>
      </w:r>
    </w:p>
  </w:footnote>
  <w:footnote w:type="continuationSeparator" w:id="0">
    <w:p w:rsidR="0083750D" w:rsidRDefault="0083750D" w:rsidP="00454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73"/>
    <w:rsid w:val="001C00BF"/>
    <w:rsid w:val="001C0A96"/>
    <w:rsid w:val="001D670A"/>
    <w:rsid w:val="002238A4"/>
    <w:rsid w:val="00454E73"/>
    <w:rsid w:val="00491A1F"/>
    <w:rsid w:val="0052022E"/>
    <w:rsid w:val="00536B3B"/>
    <w:rsid w:val="005741F5"/>
    <w:rsid w:val="006B04E8"/>
    <w:rsid w:val="00721D07"/>
    <w:rsid w:val="007321D5"/>
    <w:rsid w:val="007A4CCB"/>
    <w:rsid w:val="0083750D"/>
    <w:rsid w:val="008616FE"/>
    <w:rsid w:val="00876AC5"/>
    <w:rsid w:val="008F5C54"/>
    <w:rsid w:val="0093092B"/>
    <w:rsid w:val="009C3B4B"/>
    <w:rsid w:val="00A07434"/>
    <w:rsid w:val="00AD5AEE"/>
    <w:rsid w:val="00AE7F9B"/>
    <w:rsid w:val="00AF6839"/>
    <w:rsid w:val="00B06E2F"/>
    <w:rsid w:val="00B80448"/>
    <w:rsid w:val="00D87550"/>
    <w:rsid w:val="00DA5B9F"/>
    <w:rsid w:val="00E00319"/>
    <w:rsid w:val="00F17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42B8"/>
  <w15:chartTrackingRefBased/>
  <w15:docId w15:val="{1BE0529B-FC98-4544-BD6C-D7C58B41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54E7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talic">
    <w:name w:val="italic"/>
    <w:rsid w:val="00454E73"/>
    <w:rPr>
      <w:i/>
      <w:iCs/>
    </w:rPr>
  </w:style>
  <w:style w:type="paragraph" w:styleId="Betarp">
    <w:name w:val="No Spacing"/>
    <w:uiPriority w:val="1"/>
    <w:qFormat/>
    <w:rsid w:val="00F1704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styleId="Sraopastraipa">
    <w:name w:val="List Paragraph"/>
    <w:basedOn w:val="prastasis"/>
    <w:uiPriority w:val="34"/>
    <w:qFormat/>
    <w:rsid w:val="00A07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67304">
      <w:bodyDiv w:val="1"/>
      <w:marLeft w:val="0"/>
      <w:marRight w:val="0"/>
      <w:marTop w:val="0"/>
      <w:marBottom w:val="0"/>
      <w:divBdr>
        <w:top w:val="none" w:sz="0" w:space="0" w:color="auto"/>
        <w:left w:val="none" w:sz="0" w:space="0" w:color="auto"/>
        <w:bottom w:val="none" w:sz="0" w:space="0" w:color="auto"/>
        <w:right w:val="none" w:sz="0" w:space="0" w:color="auto"/>
      </w:divBdr>
    </w:div>
    <w:div w:id="163012097">
      <w:bodyDiv w:val="1"/>
      <w:marLeft w:val="0"/>
      <w:marRight w:val="0"/>
      <w:marTop w:val="0"/>
      <w:marBottom w:val="0"/>
      <w:divBdr>
        <w:top w:val="none" w:sz="0" w:space="0" w:color="auto"/>
        <w:left w:val="none" w:sz="0" w:space="0" w:color="auto"/>
        <w:bottom w:val="none" w:sz="0" w:space="0" w:color="auto"/>
        <w:right w:val="none" w:sz="0" w:space="0" w:color="auto"/>
      </w:divBdr>
    </w:div>
    <w:div w:id="1419717222">
      <w:bodyDiv w:val="1"/>
      <w:marLeft w:val="0"/>
      <w:marRight w:val="0"/>
      <w:marTop w:val="0"/>
      <w:marBottom w:val="0"/>
      <w:divBdr>
        <w:top w:val="none" w:sz="0" w:space="0" w:color="auto"/>
        <w:left w:val="none" w:sz="0" w:space="0" w:color="auto"/>
        <w:bottom w:val="none" w:sz="0" w:space="0" w:color="auto"/>
        <w:right w:val="none" w:sz="0" w:space="0" w:color="auto"/>
      </w:divBdr>
    </w:div>
    <w:div w:id="1491408134">
      <w:bodyDiv w:val="1"/>
      <w:marLeft w:val="0"/>
      <w:marRight w:val="0"/>
      <w:marTop w:val="0"/>
      <w:marBottom w:val="0"/>
      <w:divBdr>
        <w:top w:val="none" w:sz="0" w:space="0" w:color="auto"/>
        <w:left w:val="none" w:sz="0" w:space="0" w:color="auto"/>
        <w:bottom w:val="none" w:sz="0" w:space="0" w:color="auto"/>
        <w:right w:val="none" w:sz="0" w:space="0" w:color="auto"/>
      </w:divBdr>
    </w:div>
    <w:div w:id="1715620950">
      <w:bodyDiv w:val="1"/>
      <w:marLeft w:val="0"/>
      <w:marRight w:val="0"/>
      <w:marTop w:val="0"/>
      <w:marBottom w:val="0"/>
      <w:divBdr>
        <w:top w:val="none" w:sz="0" w:space="0" w:color="auto"/>
        <w:left w:val="none" w:sz="0" w:space="0" w:color="auto"/>
        <w:bottom w:val="none" w:sz="0" w:space="0" w:color="auto"/>
        <w:right w:val="none" w:sz="0" w:space="0" w:color="auto"/>
      </w:divBdr>
    </w:div>
    <w:div w:id="1757745186">
      <w:bodyDiv w:val="1"/>
      <w:marLeft w:val="0"/>
      <w:marRight w:val="0"/>
      <w:marTop w:val="0"/>
      <w:marBottom w:val="0"/>
      <w:divBdr>
        <w:top w:val="none" w:sz="0" w:space="0" w:color="auto"/>
        <w:left w:val="none" w:sz="0" w:space="0" w:color="auto"/>
        <w:bottom w:val="none" w:sz="0" w:space="0" w:color="auto"/>
        <w:right w:val="none" w:sz="0" w:space="0" w:color="auto"/>
      </w:divBdr>
    </w:div>
    <w:div w:id="20691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4183</Words>
  <Characters>2385</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Bartišius</dc:creator>
  <cp:keywords/>
  <dc:description/>
  <cp:lastModifiedBy>Jūratė Masiulienė</cp:lastModifiedBy>
  <cp:revision>4</cp:revision>
  <dcterms:created xsi:type="dcterms:W3CDTF">2019-04-17T13:44:00Z</dcterms:created>
  <dcterms:modified xsi:type="dcterms:W3CDTF">2019-05-30T14:18:00Z</dcterms:modified>
</cp:coreProperties>
</file>