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68A5" w14:textId="77777777" w:rsidR="00AB0C7D" w:rsidRPr="00E90B0E" w:rsidRDefault="00AB0C7D" w:rsidP="00E90B0E">
      <w:pPr>
        <w:widowControl w:val="0"/>
        <w:autoSpaceDE w:val="0"/>
        <w:autoSpaceDN w:val="0"/>
        <w:adjustRightInd w:val="0"/>
        <w:spacing w:after="0" w:line="240" w:lineRule="auto"/>
        <w:jc w:val="center"/>
        <w:rPr>
          <w:rFonts w:ascii="Times New Roman" w:hAnsi="Times New Roman"/>
          <w:b/>
          <w:sz w:val="24"/>
          <w:szCs w:val="24"/>
        </w:rPr>
      </w:pPr>
      <w:r w:rsidRPr="00E90B0E">
        <w:rPr>
          <w:noProof/>
        </w:rPr>
        <w:drawing>
          <wp:inline distT="0" distB="0" distL="0" distR="0" wp14:anchorId="769C032D" wp14:editId="785815EE">
            <wp:extent cx="2516554" cy="533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9344" cy="533991"/>
                    </a:xfrm>
                    <a:prstGeom prst="rect">
                      <a:avLst/>
                    </a:prstGeom>
                    <a:noFill/>
                    <a:ln>
                      <a:noFill/>
                    </a:ln>
                  </pic:spPr>
                </pic:pic>
              </a:graphicData>
            </a:graphic>
          </wp:inline>
        </w:drawing>
      </w:r>
    </w:p>
    <w:p w14:paraId="582E190E" w14:textId="350333DD" w:rsidR="009240DD" w:rsidRPr="00E90B0E" w:rsidRDefault="003F642F" w:rsidP="00E90B0E">
      <w:pPr>
        <w:widowControl w:val="0"/>
        <w:autoSpaceDE w:val="0"/>
        <w:autoSpaceDN w:val="0"/>
        <w:adjustRightInd w:val="0"/>
        <w:spacing w:after="0" w:line="240" w:lineRule="auto"/>
        <w:jc w:val="center"/>
        <w:rPr>
          <w:rFonts w:ascii="Times New Roman" w:eastAsia="Times New Roman" w:hAnsi="Times New Roman"/>
          <w:b/>
          <w:bCs/>
          <w:sz w:val="24"/>
          <w:szCs w:val="24"/>
        </w:rPr>
      </w:pPr>
      <w:r w:rsidRPr="00E90B0E">
        <w:rPr>
          <w:rFonts w:ascii="Times New Roman" w:hAnsi="Times New Roman"/>
          <w:b/>
          <w:sz w:val="24"/>
          <w:szCs w:val="24"/>
        </w:rPr>
        <w:t>LIETUVOS ŽUVININKYSTĖS SEKTORIAUS 20</w:t>
      </w:r>
      <w:r w:rsidR="009240DD" w:rsidRPr="00E90B0E">
        <w:rPr>
          <w:rFonts w:ascii="Times New Roman" w:hAnsi="Times New Roman"/>
          <w:b/>
          <w:sz w:val="24"/>
          <w:szCs w:val="24"/>
        </w:rPr>
        <w:t>2</w:t>
      </w:r>
      <w:r w:rsidRPr="00E90B0E">
        <w:rPr>
          <w:rFonts w:ascii="Times New Roman" w:hAnsi="Times New Roman"/>
          <w:b/>
          <w:sz w:val="24"/>
          <w:szCs w:val="24"/>
        </w:rPr>
        <w:t>1-202</w:t>
      </w:r>
      <w:r w:rsidR="009240DD" w:rsidRPr="00E90B0E">
        <w:rPr>
          <w:rFonts w:ascii="Times New Roman" w:hAnsi="Times New Roman"/>
          <w:b/>
          <w:sz w:val="24"/>
          <w:szCs w:val="24"/>
        </w:rPr>
        <w:t>7</w:t>
      </w:r>
      <w:r w:rsidRPr="00E90B0E">
        <w:rPr>
          <w:rFonts w:ascii="Times New Roman" w:hAnsi="Times New Roman"/>
          <w:b/>
          <w:sz w:val="24"/>
          <w:szCs w:val="24"/>
        </w:rPr>
        <w:t xml:space="preserve"> M. PROGRAMOS</w:t>
      </w:r>
      <w:r w:rsidRPr="00E90B0E">
        <w:rPr>
          <w:rFonts w:ascii="Times New Roman" w:eastAsia="Times New Roman" w:hAnsi="Times New Roman"/>
          <w:b/>
          <w:bCs/>
          <w:sz w:val="24"/>
          <w:szCs w:val="24"/>
        </w:rPr>
        <w:t xml:space="preserve"> </w:t>
      </w:r>
    </w:p>
    <w:p w14:paraId="7B842179" w14:textId="77777777" w:rsidR="009240DD" w:rsidRPr="00E90B0E" w:rsidRDefault="009240DD" w:rsidP="00E90B0E">
      <w:pPr>
        <w:pStyle w:val="Default"/>
        <w:ind w:left="11907"/>
        <w:rPr>
          <w:bCs/>
          <w:color w:val="auto"/>
          <w:lang w:val="pt-BR"/>
        </w:rPr>
      </w:pPr>
    </w:p>
    <w:p w14:paraId="0D538800" w14:textId="53F430E7" w:rsidR="00543F3C" w:rsidRPr="00E90B0E" w:rsidRDefault="008E4B92" w:rsidP="00E90B0E">
      <w:pPr>
        <w:widowControl w:val="0"/>
        <w:autoSpaceDE w:val="0"/>
        <w:autoSpaceDN w:val="0"/>
        <w:adjustRightInd w:val="0"/>
        <w:spacing w:after="0" w:line="240" w:lineRule="auto"/>
        <w:jc w:val="center"/>
        <w:rPr>
          <w:rFonts w:ascii="Times New Roman" w:eastAsia="Times New Roman" w:hAnsi="Times New Roman"/>
          <w:b/>
          <w:bCs/>
          <w:sz w:val="24"/>
          <w:szCs w:val="24"/>
        </w:rPr>
      </w:pPr>
      <w:r w:rsidRPr="00E90B0E">
        <w:rPr>
          <w:rFonts w:ascii="Times New Roman" w:eastAsia="Times New Roman" w:hAnsi="Times New Roman"/>
          <w:b/>
          <w:bCs/>
          <w:sz w:val="24"/>
          <w:szCs w:val="24"/>
        </w:rPr>
        <w:t>202</w:t>
      </w:r>
      <w:r w:rsidR="00BC5AB3" w:rsidRPr="00E90B0E">
        <w:rPr>
          <w:rFonts w:ascii="Times New Roman" w:eastAsia="Times New Roman" w:hAnsi="Times New Roman"/>
          <w:b/>
          <w:bCs/>
          <w:sz w:val="24"/>
          <w:szCs w:val="24"/>
        </w:rPr>
        <w:t>5</w:t>
      </w:r>
      <w:r w:rsidRPr="00E90B0E">
        <w:rPr>
          <w:rFonts w:ascii="Times New Roman" w:eastAsia="Times New Roman" w:hAnsi="Times New Roman"/>
          <w:b/>
          <w:bCs/>
          <w:sz w:val="24"/>
          <w:szCs w:val="24"/>
        </w:rPr>
        <w:t xml:space="preserve"> </w:t>
      </w:r>
      <w:r w:rsidR="00543F3C" w:rsidRPr="00E90B0E">
        <w:rPr>
          <w:rFonts w:ascii="Times New Roman" w:eastAsia="Times New Roman" w:hAnsi="Times New Roman"/>
          <w:b/>
          <w:bCs/>
          <w:sz w:val="24"/>
          <w:szCs w:val="24"/>
        </w:rPr>
        <w:t xml:space="preserve">METŲ </w:t>
      </w:r>
      <w:r w:rsidR="005F5968" w:rsidRPr="00E90B0E">
        <w:rPr>
          <w:rFonts w:ascii="Times New Roman" w:eastAsia="Times New Roman" w:hAnsi="Times New Roman"/>
          <w:b/>
          <w:bCs/>
          <w:sz w:val="24"/>
          <w:szCs w:val="24"/>
          <w:lang w:val="pt-BR"/>
        </w:rPr>
        <w:t>KOMUNIKACIJOS</w:t>
      </w:r>
      <w:r w:rsidR="009240DD" w:rsidRPr="00E90B0E">
        <w:rPr>
          <w:rFonts w:ascii="Times New Roman" w:eastAsia="Times New Roman" w:hAnsi="Times New Roman"/>
          <w:b/>
          <w:bCs/>
          <w:sz w:val="24"/>
          <w:szCs w:val="24"/>
          <w:lang w:val="pt-BR"/>
        </w:rPr>
        <w:t xml:space="preserve"> </w:t>
      </w:r>
      <w:r w:rsidR="00543F3C" w:rsidRPr="00E90B0E">
        <w:rPr>
          <w:rFonts w:ascii="Times New Roman" w:eastAsia="Times New Roman" w:hAnsi="Times New Roman"/>
          <w:b/>
          <w:bCs/>
          <w:sz w:val="24"/>
          <w:szCs w:val="24"/>
        </w:rPr>
        <w:t xml:space="preserve">PLANAS  </w:t>
      </w:r>
    </w:p>
    <w:p w14:paraId="58951089" w14:textId="77777777" w:rsidR="00B41C3C" w:rsidRPr="00E90B0E" w:rsidRDefault="00B41C3C" w:rsidP="00E90B0E">
      <w:pPr>
        <w:widowControl w:val="0"/>
        <w:autoSpaceDE w:val="0"/>
        <w:autoSpaceDN w:val="0"/>
        <w:adjustRightInd w:val="0"/>
        <w:spacing w:after="0" w:line="240" w:lineRule="auto"/>
        <w:jc w:val="center"/>
        <w:rPr>
          <w:rFonts w:ascii="Times New Roman" w:eastAsia="Times New Roman" w:hAnsi="Times New Roman"/>
          <w:b/>
          <w:bCs/>
          <w:sz w:val="24"/>
          <w:szCs w:val="24"/>
        </w:rPr>
      </w:pPr>
    </w:p>
    <w:p w14:paraId="44A2FF93" w14:textId="3434A96D" w:rsidR="00B41C3C" w:rsidRPr="00E90B0E" w:rsidRDefault="00D61FEB" w:rsidP="00E90B0E">
      <w:pPr>
        <w:widowControl w:val="0"/>
        <w:autoSpaceDE w:val="0"/>
        <w:autoSpaceDN w:val="0"/>
        <w:adjustRightInd w:val="0"/>
        <w:spacing w:after="0" w:line="276" w:lineRule="auto"/>
        <w:rPr>
          <w:rFonts w:ascii="Times New Roman" w:eastAsia="Times New Roman" w:hAnsi="Times New Roman"/>
          <w:sz w:val="24"/>
          <w:szCs w:val="24"/>
        </w:rPr>
      </w:pPr>
      <w:r w:rsidRPr="00E90B0E">
        <w:rPr>
          <w:rFonts w:ascii="Times New Roman" w:eastAsia="Times New Roman" w:hAnsi="Times New Roman"/>
          <w:sz w:val="24"/>
          <w:szCs w:val="24"/>
        </w:rPr>
        <w:t xml:space="preserve"> </w:t>
      </w:r>
    </w:p>
    <w:tbl>
      <w:tblPr>
        <w:tblpPr w:leftFromText="180" w:rightFromText="180" w:vertAnchor="text" w:tblpY="1"/>
        <w:tblOverlap w:val="neve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94"/>
        <w:gridCol w:w="3105"/>
        <w:gridCol w:w="2524"/>
        <w:gridCol w:w="1837"/>
        <w:gridCol w:w="1586"/>
        <w:gridCol w:w="1888"/>
        <w:gridCol w:w="1817"/>
      </w:tblGrid>
      <w:tr w:rsidR="000437FC" w:rsidRPr="00E90B0E" w14:paraId="3A30DE5B" w14:textId="77777777" w:rsidTr="00CB2743">
        <w:trPr>
          <w:trHeight w:val="70"/>
          <w:tblHeader/>
        </w:trPr>
        <w:tc>
          <w:tcPr>
            <w:tcW w:w="561" w:type="dxa"/>
            <w:shd w:val="clear" w:color="auto" w:fill="auto"/>
            <w:vAlign w:val="center"/>
            <w:hideMark/>
          </w:tcPr>
          <w:p w14:paraId="3C33945A"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Eil. Nr. </w:t>
            </w:r>
          </w:p>
        </w:tc>
        <w:tc>
          <w:tcPr>
            <w:tcW w:w="1694" w:type="dxa"/>
            <w:shd w:val="clear" w:color="auto" w:fill="auto"/>
            <w:vAlign w:val="center"/>
            <w:hideMark/>
          </w:tcPr>
          <w:p w14:paraId="21CF1464"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Informavimo priemonė </w:t>
            </w:r>
          </w:p>
        </w:tc>
        <w:tc>
          <w:tcPr>
            <w:tcW w:w="3105" w:type="dxa"/>
            <w:shd w:val="clear" w:color="auto" w:fill="auto"/>
            <w:vAlign w:val="center"/>
            <w:hideMark/>
          </w:tcPr>
          <w:p w14:paraId="204E160C"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Tikslas </w:t>
            </w:r>
          </w:p>
        </w:tc>
        <w:tc>
          <w:tcPr>
            <w:tcW w:w="2524" w:type="dxa"/>
            <w:shd w:val="clear" w:color="auto" w:fill="auto"/>
            <w:vAlign w:val="center"/>
            <w:hideMark/>
          </w:tcPr>
          <w:p w14:paraId="6EB09C67"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Priemonės apibūdinimas </w:t>
            </w:r>
          </w:p>
        </w:tc>
        <w:tc>
          <w:tcPr>
            <w:tcW w:w="1837" w:type="dxa"/>
            <w:shd w:val="clear" w:color="auto" w:fill="auto"/>
            <w:vAlign w:val="center"/>
            <w:hideMark/>
          </w:tcPr>
          <w:p w14:paraId="086D17A7"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Tikslinė grupė </w:t>
            </w:r>
          </w:p>
        </w:tc>
        <w:tc>
          <w:tcPr>
            <w:tcW w:w="1586" w:type="dxa"/>
            <w:shd w:val="clear" w:color="auto" w:fill="auto"/>
            <w:vAlign w:val="center"/>
            <w:hideMark/>
          </w:tcPr>
          <w:p w14:paraId="5C311B70"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Įgyvendinim</w:t>
            </w:r>
            <w:r w:rsidR="00A31B20" w:rsidRPr="00E90B0E">
              <w:rPr>
                <w:rFonts w:ascii="Times New Roman" w:eastAsia="Times New Roman" w:hAnsi="Times New Roman"/>
                <w:b/>
                <w:bCs/>
                <w:lang w:eastAsia="lt-LT"/>
              </w:rPr>
              <w:t>ui</w:t>
            </w:r>
            <w:r w:rsidRPr="00E90B0E">
              <w:rPr>
                <w:rFonts w:ascii="Times New Roman" w:eastAsia="Times New Roman" w:hAnsi="Times New Roman"/>
                <w:b/>
                <w:bCs/>
                <w:lang w:eastAsia="lt-LT"/>
              </w:rPr>
              <w:t xml:space="preserve"> reikalingos lėšos, Eur</w:t>
            </w:r>
          </w:p>
        </w:tc>
        <w:tc>
          <w:tcPr>
            <w:tcW w:w="1888" w:type="dxa"/>
            <w:shd w:val="clear" w:color="auto" w:fill="auto"/>
            <w:vAlign w:val="center"/>
            <w:hideMark/>
          </w:tcPr>
          <w:p w14:paraId="62F67340"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Stebėsenos ir vertinimo rodikliai</w:t>
            </w:r>
          </w:p>
        </w:tc>
        <w:tc>
          <w:tcPr>
            <w:tcW w:w="1817" w:type="dxa"/>
          </w:tcPr>
          <w:p w14:paraId="23B036BE" w14:textId="77777777" w:rsidR="001C5978" w:rsidRPr="00E90B0E" w:rsidRDefault="001C5978" w:rsidP="00E90B0E">
            <w:pPr>
              <w:spacing w:after="0" w:line="240" w:lineRule="auto"/>
              <w:jc w:val="center"/>
              <w:rPr>
                <w:rFonts w:ascii="Times New Roman" w:eastAsia="Times New Roman" w:hAnsi="Times New Roman"/>
                <w:b/>
                <w:bCs/>
                <w:lang w:eastAsia="lt-LT"/>
              </w:rPr>
            </w:pPr>
            <w:r w:rsidRPr="00E90B0E">
              <w:rPr>
                <w:rFonts w:ascii="Times New Roman" w:eastAsia="Times New Roman" w:hAnsi="Times New Roman"/>
                <w:b/>
                <w:bCs/>
                <w:lang w:eastAsia="lt-LT"/>
              </w:rPr>
              <w:t xml:space="preserve">Vykdytojai </w:t>
            </w:r>
          </w:p>
        </w:tc>
      </w:tr>
      <w:tr w:rsidR="000437FC" w:rsidRPr="00E90B0E" w14:paraId="0E80FEC6" w14:textId="77777777" w:rsidTr="00CB2743">
        <w:trPr>
          <w:trHeight w:val="4058"/>
        </w:trPr>
        <w:tc>
          <w:tcPr>
            <w:tcW w:w="561" w:type="dxa"/>
            <w:shd w:val="clear" w:color="auto" w:fill="auto"/>
            <w:noWrap/>
            <w:vAlign w:val="center"/>
            <w:hideMark/>
          </w:tcPr>
          <w:p w14:paraId="7FCF1FE6" w14:textId="77777777" w:rsidR="00C22551" w:rsidRPr="00E90B0E" w:rsidRDefault="00C22551"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1.</w:t>
            </w:r>
          </w:p>
          <w:p w14:paraId="4807A866" w14:textId="77777777" w:rsidR="00C22551" w:rsidRPr="00E90B0E" w:rsidRDefault="00C22551" w:rsidP="00E90B0E">
            <w:pPr>
              <w:spacing w:after="0" w:line="240" w:lineRule="auto"/>
              <w:jc w:val="center"/>
              <w:rPr>
                <w:rFonts w:ascii="Times New Roman" w:eastAsia="Times New Roman" w:hAnsi="Times New Roman"/>
                <w:lang w:eastAsia="lt-LT"/>
              </w:rPr>
            </w:pPr>
          </w:p>
        </w:tc>
        <w:tc>
          <w:tcPr>
            <w:tcW w:w="1694" w:type="dxa"/>
            <w:shd w:val="clear" w:color="auto" w:fill="auto"/>
            <w:vAlign w:val="center"/>
            <w:hideMark/>
          </w:tcPr>
          <w:p w14:paraId="68D435FB" w14:textId="77777777" w:rsidR="00C22551" w:rsidRPr="00E90B0E" w:rsidRDefault="00C22551" w:rsidP="00E90B0E">
            <w:pPr>
              <w:spacing w:after="0" w:line="240" w:lineRule="auto"/>
              <w:rPr>
                <w:rFonts w:ascii="Times New Roman" w:eastAsia="Times New Roman" w:hAnsi="Times New Roman"/>
                <w:b/>
                <w:bCs/>
                <w:lang w:eastAsia="lt-LT"/>
              </w:rPr>
            </w:pPr>
            <w:r w:rsidRPr="00E90B0E">
              <w:rPr>
                <w:rFonts w:ascii="Times New Roman" w:eastAsia="Times New Roman" w:hAnsi="Times New Roman"/>
                <w:b/>
                <w:bCs/>
                <w:lang w:eastAsia="lt-LT"/>
              </w:rPr>
              <w:t>Viešinimas internetiniuose portaluose</w:t>
            </w:r>
          </w:p>
          <w:p w14:paraId="3027D1B9" w14:textId="77777777" w:rsidR="00C22551" w:rsidRPr="00E90B0E" w:rsidRDefault="00C22551" w:rsidP="00E90B0E">
            <w:pPr>
              <w:spacing w:after="0" w:line="240" w:lineRule="auto"/>
              <w:rPr>
                <w:rFonts w:ascii="Times New Roman" w:eastAsia="Times New Roman" w:hAnsi="Times New Roman"/>
                <w:b/>
                <w:bCs/>
                <w:lang w:eastAsia="lt-LT"/>
              </w:rPr>
            </w:pPr>
          </w:p>
        </w:tc>
        <w:tc>
          <w:tcPr>
            <w:tcW w:w="3105" w:type="dxa"/>
            <w:shd w:val="clear" w:color="auto" w:fill="auto"/>
            <w:hideMark/>
          </w:tcPr>
          <w:p w14:paraId="02A5837F" w14:textId="18974698" w:rsidR="00C22551" w:rsidRPr="00E90B0E" w:rsidRDefault="00C22551"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Užtikrinti skaidrią, operatyvią, visiems prieinamą informacijos apie </w:t>
            </w:r>
            <w:r w:rsidR="00DD223A" w:rsidRPr="00E90B0E">
              <w:rPr>
                <w:rFonts w:ascii="Times New Roman" w:eastAsia="Times New Roman" w:hAnsi="Times New Roman"/>
                <w:lang w:eastAsia="lt-LT"/>
              </w:rPr>
              <w:t>EJRŽAF*</w:t>
            </w:r>
            <w:r w:rsidR="008104F2" w:rsidRPr="00E90B0E">
              <w:rPr>
                <w:rFonts w:ascii="Times New Roman" w:eastAsia="Times New Roman" w:hAnsi="Times New Roman"/>
                <w:lang w:eastAsia="lt-LT"/>
              </w:rPr>
              <w:t xml:space="preserve"> </w:t>
            </w:r>
            <w:r w:rsidRPr="00E90B0E">
              <w:rPr>
                <w:rFonts w:ascii="Times New Roman" w:eastAsia="Times New Roman" w:hAnsi="Times New Roman"/>
                <w:lang w:eastAsia="lt-LT"/>
              </w:rPr>
              <w:t xml:space="preserve">sklaidą. Operatyviai teikti informaciją visuomenei ir formuoti objektyvią nuomonę apie  </w:t>
            </w:r>
            <w:r w:rsidR="00DD223A" w:rsidRPr="00E90B0E">
              <w:rPr>
                <w:rFonts w:ascii="Times New Roman" w:eastAsia="Times New Roman" w:hAnsi="Times New Roman"/>
                <w:lang w:eastAsia="lt-LT"/>
              </w:rPr>
              <w:t>EJRŽAF</w:t>
            </w:r>
            <w:r w:rsidRPr="00E90B0E">
              <w:rPr>
                <w:rFonts w:ascii="Times New Roman" w:eastAsia="Times New Roman" w:hAnsi="Times New Roman"/>
                <w:lang w:eastAsia="lt-LT"/>
              </w:rPr>
              <w:t>, jos  tikslus ir teikiamas galimybes, reikalavimus paramai gauti, ES finansinį įnašą bei ES vaidmenį įgyvendinant</w:t>
            </w:r>
            <w:r w:rsidR="00DD223A" w:rsidRPr="00E90B0E">
              <w:rPr>
                <w:rFonts w:ascii="Times New Roman" w:eastAsia="Times New Roman" w:hAnsi="Times New Roman"/>
                <w:lang w:eastAsia="lt-LT"/>
              </w:rPr>
              <w:t xml:space="preserve"> EJRŽAF</w:t>
            </w:r>
            <w:r w:rsidRPr="00E90B0E">
              <w:rPr>
                <w:rFonts w:ascii="Times New Roman" w:eastAsia="Times New Roman" w:hAnsi="Times New Roman"/>
                <w:lang w:eastAsia="lt-LT"/>
              </w:rPr>
              <w:t>, apie paramos panaudojimo patirtį, paramos žuvininkystės sektoriui poveikį šalies ekonominiam ir socialiniam vystymuisi, taip pat siekiant užtikrinti veiksmingesnę komunikaciją su visuomene.</w:t>
            </w:r>
          </w:p>
        </w:tc>
        <w:tc>
          <w:tcPr>
            <w:tcW w:w="2524" w:type="dxa"/>
            <w:shd w:val="clear" w:color="auto" w:fill="auto"/>
            <w:hideMark/>
          </w:tcPr>
          <w:p w14:paraId="22B25816" w14:textId="77777777" w:rsidR="00C22551" w:rsidRPr="00E90B0E" w:rsidRDefault="00C22551"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Numatoma rengti ir publikuoti straipsnius, </w:t>
            </w:r>
            <w:r w:rsidR="00CA12D9" w:rsidRPr="00E90B0E">
              <w:rPr>
                <w:rFonts w:ascii="Times New Roman" w:eastAsia="Times New Roman" w:hAnsi="Times New Roman"/>
                <w:lang w:eastAsia="lt-LT"/>
              </w:rPr>
              <w:t>vaizdo siužetus bei vaizdo konferencijas</w:t>
            </w:r>
            <w:r w:rsidRPr="00E90B0E">
              <w:rPr>
                <w:rFonts w:ascii="Times New Roman" w:eastAsia="Times New Roman" w:hAnsi="Times New Roman"/>
                <w:lang w:eastAsia="lt-LT"/>
              </w:rPr>
              <w:t xml:space="preserve">, </w:t>
            </w:r>
            <w:r w:rsidR="00CA12D9" w:rsidRPr="00E90B0E">
              <w:rPr>
                <w:rFonts w:ascii="Times New Roman" w:eastAsia="Times New Roman" w:hAnsi="Times New Roman"/>
                <w:lang w:eastAsia="lt-LT"/>
              </w:rPr>
              <w:t>kt. informacinę medžiagą</w:t>
            </w:r>
          </w:p>
        </w:tc>
        <w:tc>
          <w:tcPr>
            <w:tcW w:w="1837" w:type="dxa"/>
            <w:shd w:val="clear" w:color="auto" w:fill="auto"/>
            <w:hideMark/>
          </w:tcPr>
          <w:p w14:paraId="2EE9F945" w14:textId="77777777" w:rsidR="00C22551" w:rsidRPr="00E90B0E" w:rsidRDefault="00C22551"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Centrinės ir vietos valdžios institucijos, socialiniai partneriai, žiniasklaida, šalies visuomenė.</w:t>
            </w:r>
          </w:p>
        </w:tc>
        <w:tc>
          <w:tcPr>
            <w:tcW w:w="1586" w:type="dxa"/>
            <w:shd w:val="clear" w:color="auto" w:fill="auto"/>
          </w:tcPr>
          <w:p w14:paraId="610C9C2A" w14:textId="31E9727E" w:rsidR="00C22551" w:rsidRPr="00E90B0E" w:rsidRDefault="00BC5AB3"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10</w:t>
            </w:r>
            <w:r w:rsidR="00DD223A" w:rsidRPr="00E90B0E">
              <w:rPr>
                <w:rFonts w:ascii="Times New Roman" w:eastAsia="Times New Roman" w:hAnsi="Times New Roman"/>
                <w:lang w:eastAsia="lt-LT"/>
              </w:rPr>
              <w:t xml:space="preserve"> </w:t>
            </w:r>
            <w:r w:rsidR="00DA2274" w:rsidRPr="00E90B0E">
              <w:rPr>
                <w:rFonts w:ascii="Times New Roman" w:eastAsia="Times New Roman" w:hAnsi="Times New Roman"/>
                <w:lang w:eastAsia="lt-LT"/>
              </w:rPr>
              <w:t>0</w:t>
            </w:r>
            <w:r w:rsidR="00CA12D9" w:rsidRPr="00E90B0E">
              <w:rPr>
                <w:rFonts w:ascii="Times New Roman" w:eastAsia="Times New Roman" w:hAnsi="Times New Roman"/>
                <w:lang w:eastAsia="lt-LT"/>
              </w:rPr>
              <w:t>00</w:t>
            </w:r>
            <w:r w:rsidR="0042020A" w:rsidRPr="00E90B0E">
              <w:rPr>
                <w:rFonts w:ascii="Times New Roman" w:eastAsia="Times New Roman" w:hAnsi="Times New Roman"/>
                <w:lang w:eastAsia="lt-LT"/>
              </w:rPr>
              <w:t>,00</w:t>
            </w:r>
          </w:p>
        </w:tc>
        <w:tc>
          <w:tcPr>
            <w:tcW w:w="1888" w:type="dxa"/>
            <w:shd w:val="clear" w:color="auto" w:fill="auto"/>
          </w:tcPr>
          <w:p w14:paraId="3BCFD7C4" w14:textId="27F64B2E" w:rsidR="00C22551" w:rsidRPr="00E90B0E" w:rsidRDefault="006660C3"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Informacinės medžiagos portaluose skaičius – </w:t>
            </w:r>
            <w:r w:rsidR="001D4B50" w:rsidRPr="00E90B0E">
              <w:rPr>
                <w:rFonts w:ascii="Times New Roman" w:eastAsia="Times New Roman" w:hAnsi="Times New Roman"/>
                <w:lang w:eastAsia="lt-LT"/>
              </w:rPr>
              <w:t>8</w:t>
            </w:r>
            <w:r w:rsidRPr="00E90B0E">
              <w:rPr>
                <w:rFonts w:ascii="Times New Roman" w:eastAsia="Times New Roman" w:hAnsi="Times New Roman"/>
                <w:lang w:eastAsia="lt-LT"/>
              </w:rPr>
              <w:t xml:space="preserve"> vnt.</w:t>
            </w:r>
          </w:p>
        </w:tc>
        <w:tc>
          <w:tcPr>
            <w:tcW w:w="1817" w:type="dxa"/>
          </w:tcPr>
          <w:p w14:paraId="2F95523F" w14:textId="77777777" w:rsidR="00C22551" w:rsidRPr="00E90B0E" w:rsidRDefault="00C22551"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 xml:space="preserve">ŽŪM </w:t>
            </w:r>
            <w:r w:rsidR="00F2310C" w:rsidRPr="00E90B0E">
              <w:rPr>
                <w:rFonts w:ascii="Times New Roman" w:eastAsia="Times New Roman" w:hAnsi="Times New Roman"/>
                <w:bCs/>
                <w:lang w:eastAsia="lt-LT"/>
              </w:rPr>
              <w:t xml:space="preserve">Ryšių su visuomene </w:t>
            </w:r>
            <w:r w:rsidR="00CA12D9" w:rsidRPr="00E90B0E">
              <w:rPr>
                <w:rFonts w:ascii="Times New Roman" w:eastAsia="Times New Roman" w:hAnsi="Times New Roman"/>
                <w:bCs/>
                <w:lang w:eastAsia="lt-LT"/>
              </w:rPr>
              <w:t xml:space="preserve">ir bendradarbiavimo </w:t>
            </w:r>
            <w:r w:rsidRPr="00E90B0E">
              <w:rPr>
                <w:rFonts w:ascii="Times New Roman" w:eastAsia="Times New Roman" w:hAnsi="Times New Roman"/>
                <w:bCs/>
                <w:lang w:eastAsia="lt-LT"/>
              </w:rPr>
              <w:t xml:space="preserve">skyrius (toliau – </w:t>
            </w:r>
            <w:r w:rsidR="00F2310C" w:rsidRPr="00E90B0E">
              <w:rPr>
                <w:rFonts w:ascii="Times New Roman" w:eastAsia="Times New Roman" w:hAnsi="Times New Roman"/>
                <w:bCs/>
                <w:lang w:eastAsia="lt-LT"/>
              </w:rPr>
              <w:t>R</w:t>
            </w:r>
            <w:r w:rsidRPr="00E90B0E">
              <w:rPr>
                <w:rFonts w:ascii="Times New Roman" w:eastAsia="Times New Roman" w:hAnsi="Times New Roman"/>
                <w:bCs/>
                <w:lang w:eastAsia="lt-LT"/>
              </w:rPr>
              <w:t>V</w:t>
            </w:r>
            <w:r w:rsidR="00CA12D9" w:rsidRPr="00E90B0E">
              <w:rPr>
                <w:rFonts w:ascii="Times New Roman" w:eastAsia="Times New Roman" w:hAnsi="Times New Roman"/>
                <w:bCs/>
                <w:lang w:eastAsia="lt-LT"/>
              </w:rPr>
              <w:t>B</w:t>
            </w:r>
            <w:r w:rsidRPr="00E90B0E">
              <w:rPr>
                <w:rFonts w:ascii="Times New Roman" w:eastAsia="Times New Roman" w:hAnsi="Times New Roman"/>
                <w:bCs/>
                <w:lang w:eastAsia="lt-LT"/>
              </w:rPr>
              <w:t>S)</w:t>
            </w:r>
          </w:p>
        </w:tc>
      </w:tr>
      <w:tr w:rsidR="007F6752" w:rsidRPr="00E90B0E" w14:paraId="2208F252" w14:textId="77777777" w:rsidTr="00CB2743">
        <w:trPr>
          <w:trHeight w:val="4058"/>
        </w:trPr>
        <w:tc>
          <w:tcPr>
            <w:tcW w:w="561" w:type="dxa"/>
            <w:shd w:val="clear" w:color="auto" w:fill="auto"/>
            <w:noWrap/>
            <w:vAlign w:val="center"/>
          </w:tcPr>
          <w:p w14:paraId="2006B0D1" w14:textId="77777777" w:rsidR="007F6752" w:rsidRPr="00E90B0E" w:rsidRDefault="007F6752" w:rsidP="00E90B0E">
            <w:pPr>
              <w:spacing w:after="0" w:line="240" w:lineRule="auto"/>
              <w:jc w:val="center"/>
              <w:rPr>
                <w:rFonts w:ascii="Times New Roman" w:eastAsia="Times New Roman" w:hAnsi="Times New Roman"/>
                <w:lang w:eastAsia="lt-LT"/>
              </w:rPr>
            </w:pPr>
          </w:p>
        </w:tc>
        <w:tc>
          <w:tcPr>
            <w:tcW w:w="1694" w:type="dxa"/>
            <w:shd w:val="clear" w:color="auto" w:fill="auto"/>
            <w:vAlign w:val="center"/>
          </w:tcPr>
          <w:p w14:paraId="3BB9F9D3" w14:textId="77777777" w:rsidR="007F6752" w:rsidRPr="00E90B0E" w:rsidRDefault="007F6752" w:rsidP="00E90B0E">
            <w:pPr>
              <w:spacing w:after="0" w:line="240" w:lineRule="auto"/>
              <w:rPr>
                <w:rFonts w:ascii="Times New Roman" w:eastAsia="Times New Roman" w:hAnsi="Times New Roman"/>
                <w:b/>
                <w:bCs/>
                <w:lang w:eastAsia="lt-LT"/>
              </w:rPr>
            </w:pPr>
          </w:p>
        </w:tc>
        <w:tc>
          <w:tcPr>
            <w:tcW w:w="3105" w:type="dxa"/>
            <w:shd w:val="clear" w:color="auto" w:fill="auto"/>
          </w:tcPr>
          <w:p w14:paraId="68B1DA75" w14:textId="4D287969" w:rsidR="007F6752" w:rsidRPr="00E90B0E" w:rsidRDefault="007F6752" w:rsidP="00E90B0E">
            <w:pPr>
              <w:spacing w:after="0" w:line="240" w:lineRule="auto"/>
              <w:jc w:val="both"/>
              <w:rPr>
                <w:rFonts w:ascii="Times New Roman" w:eastAsia="Times New Roman" w:hAnsi="Times New Roman"/>
                <w:lang w:eastAsia="lt-LT"/>
              </w:rPr>
            </w:pPr>
            <w:r w:rsidRPr="00E90B0E">
              <w:rPr>
                <w:rFonts w:ascii="Times New Roman" w:hAnsi="Times New Roman"/>
              </w:rPr>
              <w:t xml:space="preserve">Siekiant informuoti pareiškėjus apie galimybes pasinaudoti </w:t>
            </w:r>
            <w:r w:rsidRPr="00E90B0E">
              <w:rPr>
                <w:rFonts w:ascii="Times New Roman" w:eastAsia="Times New Roman" w:hAnsi="Times New Roman"/>
                <w:iCs/>
                <w:lang w:eastAsia="lt-LT"/>
              </w:rPr>
              <w:t>parama</w:t>
            </w:r>
            <w:r w:rsidRPr="00E90B0E">
              <w:rPr>
                <w:rFonts w:ascii="Times New Roman" w:hAnsi="Times New Roman"/>
              </w:rPr>
              <w:t xml:space="preserve"> pagal </w:t>
            </w:r>
            <w:r w:rsidRPr="00E90B0E">
              <w:rPr>
                <w:rFonts w:ascii="Times New Roman" w:eastAsia="Times New Roman" w:hAnsi="Times New Roman"/>
                <w:iCs/>
                <w:lang w:eastAsia="lt-LT"/>
              </w:rPr>
              <w:t>Programą, planuojama skelbti straipsnius, kuriose pateikiama informacija apie paraiškų pagal Programos priemones priėmimo laikotarpius, pareiškėjams keliamus reikalavimus,</w:t>
            </w:r>
            <w:r w:rsidRPr="00E90B0E">
              <w:rPr>
                <w:rFonts w:ascii="Times New Roman" w:hAnsi="Times New Roman"/>
              </w:rPr>
              <w:t xml:space="preserve"> paramos teikimo sąlygas bei įsipareigojimus paramos gavėjams, ir reklaminius skydelius (</w:t>
            </w:r>
            <w:proofErr w:type="spellStart"/>
            <w:r w:rsidRPr="00E90B0E">
              <w:rPr>
                <w:rFonts w:ascii="Times New Roman" w:hAnsi="Times New Roman"/>
              </w:rPr>
              <w:t>banerius</w:t>
            </w:r>
            <w:proofErr w:type="spellEnd"/>
            <w:r w:rsidRPr="00E90B0E">
              <w:rPr>
                <w:rFonts w:ascii="Times New Roman" w:hAnsi="Times New Roman"/>
              </w:rPr>
              <w:t xml:space="preserve">) naujienų portaluose ir socialiniuose tinkluose, kurie nukreips į internetiniame puslapyje esančią informaciją apie  </w:t>
            </w:r>
            <w:r w:rsidRPr="00E90B0E">
              <w:rPr>
                <w:rFonts w:ascii="Times New Roman" w:eastAsia="Times New Roman" w:hAnsi="Times New Roman"/>
                <w:iCs/>
                <w:lang w:eastAsia="lt-LT"/>
              </w:rPr>
              <w:t xml:space="preserve"> paraiškų pagal Programos priemones priėmimo laikotarpius, pareiškėjams keliamus reikalavimus,</w:t>
            </w:r>
            <w:r w:rsidRPr="00E90B0E">
              <w:rPr>
                <w:rFonts w:ascii="Times New Roman" w:hAnsi="Times New Roman"/>
              </w:rPr>
              <w:t xml:space="preserve"> paramos teikimo sąlygas bei įsipareigojimus paramos gavėjams</w:t>
            </w:r>
          </w:p>
        </w:tc>
        <w:tc>
          <w:tcPr>
            <w:tcW w:w="2524" w:type="dxa"/>
            <w:shd w:val="clear" w:color="auto" w:fill="auto"/>
          </w:tcPr>
          <w:p w14:paraId="0A16AD4C" w14:textId="6F2DBE75" w:rsidR="007F6752" w:rsidRPr="00E90B0E" w:rsidRDefault="007F675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Per naujienų internetinius portalus vykdyti informavimą ir viešinimą, publikuojant straipsnius, demonstruojant reklaminius skydelius.</w:t>
            </w:r>
          </w:p>
        </w:tc>
        <w:tc>
          <w:tcPr>
            <w:tcW w:w="1837" w:type="dxa"/>
            <w:shd w:val="clear" w:color="auto" w:fill="auto"/>
          </w:tcPr>
          <w:p w14:paraId="2302FA94" w14:textId="4FA5473E" w:rsidR="007F6752" w:rsidRPr="00E90B0E" w:rsidRDefault="007F675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Galimi pareiškėjai</w:t>
            </w:r>
          </w:p>
        </w:tc>
        <w:tc>
          <w:tcPr>
            <w:tcW w:w="1586" w:type="dxa"/>
            <w:shd w:val="clear" w:color="auto" w:fill="auto"/>
          </w:tcPr>
          <w:p w14:paraId="4453BB8F" w14:textId="6E0E4C04" w:rsidR="007F6752" w:rsidRPr="00B83731" w:rsidRDefault="00542205" w:rsidP="00E90B0E">
            <w:pPr>
              <w:spacing w:after="0" w:line="240" w:lineRule="auto"/>
              <w:jc w:val="center"/>
              <w:rPr>
                <w:rFonts w:ascii="Times New Roman" w:eastAsia="Times New Roman" w:hAnsi="Times New Roman"/>
                <w:bCs/>
                <w:lang w:eastAsia="lt-LT"/>
              </w:rPr>
            </w:pPr>
            <w:r w:rsidRPr="001D453D">
              <w:rPr>
                <w:rFonts w:ascii="Times New Roman" w:hAnsi="Times New Roman"/>
                <w:bCs/>
              </w:rPr>
              <w:t>34</w:t>
            </w:r>
            <w:r w:rsidR="00934334" w:rsidRPr="001D453D">
              <w:rPr>
                <w:rFonts w:ascii="Times New Roman" w:hAnsi="Times New Roman"/>
                <w:bCs/>
              </w:rPr>
              <w:t> 261,22</w:t>
            </w:r>
            <w:r w:rsidR="007F6752" w:rsidRPr="00B83731">
              <w:rPr>
                <w:rFonts w:ascii="Times New Roman" w:eastAsia="Times New Roman" w:hAnsi="Times New Roman"/>
                <w:bCs/>
                <w:lang w:eastAsia="lt-LT"/>
              </w:rPr>
              <w:t xml:space="preserve"> </w:t>
            </w:r>
          </w:p>
        </w:tc>
        <w:tc>
          <w:tcPr>
            <w:tcW w:w="1888" w:type="dxa"/>
            <w:shd w:val="clear" w:color="auto" w:fill="auto"/>
          </w:tcPr>
          <w:p w14:paraId="5B4F34D7" w14:textId="18505BC1" w:rsidR="007F6752" w:rsidRPr="00E90B0E" w:rsidRDefault="007F675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Publikacijų skaičius naujienų internetiniuose portaluose </w:t>
            </w:r>
            <w:r w:rsidRPr="00E90B0E">
              <w:rPr>
                <w:rFonts w:ascii="Times New Roman" w:hAnsi="Times New Roman"/>
              </w:rPr>
              <w:t xml:space="preserve">– 10 </w:t>
            </w:r>
            <w:proofErr w:type="spellStart"/>
            <w:r w:rsidRPr="00E90B0E">
              <w:rPr>
                <w:rFonts w:ascii="Times New Roman" w:hAnsi="Times New Roman"/>
              </w:rPr>
              <w:t>vnt</w:t>
            </w:r>
            <w:proofErr w:type="spellEnd"/>
            <w:r w:rsidRPr="00E90B0E">
              <w:rPr>
                <w:rFonts w:ascii="Times New Roman" w:hAnsi="Times New Roman"/>
              </w:rPr>
              <w:t>; reklaminių skydelių - ~13147 tūkst. parodymų.  Kampanijų socialiniame tinkle – 10 vnt.</w:t>
            </w:r>
          </w:p>
        </w:tc>
        <w:tc>
          <w:tcPr>
            <w:tcW w:w="1817" w:type="dxa"/>
          </w:tcPr>
          <w:p w14:paraId="08AAF86C" w14:textId="7A69D740" w:rsidR="007F6752" w:rsidRPr="00E90B0E" w:rsidRDefault="007F6752"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lang w:eastAsia="lt-LT"/>
              </w:rPr>
              <w:t>NMA</w:t>
            </w:r>
          </w:p>
        </w:tc>
      </w:tr>
      <w:tr w:rsidR="00B822CB" w:rsidRPr="00E90B0E" w14:paraId="3ED2EB3D" w14:textId="77777777" w:rsidTr="00CB2743">
        <w:trPr>
          <w:trHeight w:val="3542"/>
        </w:trPr>
        <w:tc>
          <w:tcPr>
            <w:tcW w:w="561" w:type="dxa"/>
            <w:shd w:val="clear" w:color="auto" w:fill="auto"/>
            <w:noWrap/>
            <w:vAlign w:val="center"/>
            <w:hideMark/>
          </w:tcPr>
          <w:p w14:paraId="05BABB23" w14:textId="77777777" w:rsidR="00B822CB" w:rsidRPr="00E90B0E" w:rsidRDefault="00B822CB" w:rsidP="00E90B0E">
            <w:pPr>
              <w:spacing w:after="0" w:line="240" w:lineRule="auto"/>
              <w:jc w:val="center"/>
              <w:rPr>
                <w:rFonts w:ascii="Times New Roman" w:eastAsia="Times New Roman" w:hAnsi="Times New Roman"/>
                <w:lang w:eastAsia="lt-LT"/>
              </w:rPr>
            </w:pPr>
          </w:p>
          <w:p w14:paraId="67A9F2F2" w14:textId="77777777" w:rsidR="00B822CB" w:rsidRPr="00E90B0E" w:rsidRDefault="00B822CB" w:rsidP="00E90B0E">
            <w:pPr>
              <w:spacing w:after="0" w:line="240" w:lineRule="auto"/>
              <w:jc w:val="center"/>
              <w:rPr>
                <w:rFonts w:ascii="Times New Roman" w:eastAsia="Times New Roman" w:hAnsi="Times New Roman"/>
                <w:lang w:eastAsia="lt-LT"/>
              </w:rPr>
            </w:pPr>
          </w:p>
          <w:p w14:paraId="7DDA27D2" w14:textId="77777777" w:rsidR="00B822CB" w:rsidRPr="00E90B0E" w:rsidRDefault="00B822CB" w:rsidP="00E90B0E">
            <w:pPr>
              <w:spacing w:after="0" w:line="240" w:lineRule="auto"/>
              <w:jc w:val="center"/>
              <w:rPr>
                <w:rFonts w:ascii="Times New Roman" w:eastAsia="Times New Roman" w:hAnsi="Times New Roman"/>
                <w:lang w:eastAsia="lt-LT"/>
              </w:rPr>
            </w:pPr>
          </w:p>
          <w:p w14:paraId="3536916F" w14:textId="77777777" w:rsidR="00B822CB" w:rsidRPr="00E90B0E" w:rsidRDefault="00B822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2.</w:t>
            </w:r>
          </w:p>
        </w:tc>
        <w:tc>
          <w:tcPr>
            <w:tcW w:w="1694" w:type="dxa"/>
            <w:shd w:val="clear" w:color="auto" w:fill="auto"/>
            <w:vAlign w:val="center"/>
            <w:hideMark/>
          </w:tcPr>
          <w:p w14:paraId="097629C4" w14:textId="55607E3D" w:rsidR="00B822CB" w:rsidRPr="00E90B0E" w:rsidRDefault="0057632D" w:rsidP="00E90B0E">
            <w:pPr>
              <w:spacing w:after="0" w:line="240" w:lineRule="auto"/>
              <w:rPr>
                <w:rFonts w:ascii="Times New Roman" w:eastAsia="Times New Roman" w:hAnsi="Times New Roman"/>
                <w:b/>
                <w:bCs/>
                <w:lang w:val="pt-BR" w:eastAsia="lt-LT"/>
              </w:rPr>
            </w:pPr>
            <w:bookmarkStart w:id="0" w:name="_Hlk165283522"/>
            <w:r w:rsidRPr="00E90B0E">
              <w:rPr>
                <w:rFonts w:ascii="Times New Roman" w:hAnsi="Times New Roman"/>
                <w:b/>
                <w:bCs/>
                <w:lang w:val="pt-BR"/>
              </w:rPr>
              <w:t>Leidiniai, teksto, garso, vaizdo informacinės kitos informavimo priemonės</w:t>
            </w:r>
            <w:bookmarkEnd w:id="0"/>
            <w:r w:rsidR="008839D0">
              <w:rPr>
                <w:rFonts w:ascii="Times New Roman" w:hAnsi="Times New Roman"/>
                <w:b/>
                <w:bCs/>
                <w:lang w:val="pt-BR"/>
              </w:rPr>
              <w:t xml:space="preserve"> ir jų sklaida</w:t>
            </w:r>
          </w:p>
        </w:tc>
        <w:tc>
          <w:tcPr>
            <w:tcW w:w="3105" w:type="dxa"/>
            <w:shd w:val="clear" w:color="auto" w:fill="auto"/>
            <w:hideMark/>
          </w:tcPr>
          <w:p w14:paraId="3527A689" w14:textId="31CDDC1B" w:rsidR="00B822CB" w:rsidRPr="00E90B0E" w:rsidRDefault="0057632D"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T</w:t>
            </w:r>
            <w:r w:rsidR="00B822CB" w:rsidRPr="00E90B0E">
              <w:rPr>
                <w:rFonts w:ascii="Times New Roman" w:eastAsia="Times New Roman" w:hAnsi="Times New Roman"/>
                <w:lang w:eastAsia="lt-LT"/>
              </w:rPr>
              <w:t>eikti informaciją visuomenei ir formuoti objektyvią nuomonę apie EJRŽAF, jos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152D00E6" w14:textId="29477386" w:rsidR="005D3239" w:rsidRPr="00E90B0E" w:rsidRDefault="005D3239" w:rsidP="00E90B0E">
            <w:pPr>
              <w:spacing w:after="0" w:line="240" w:lineRule="auto"/>
              <w:jc w:val="both"/>
              <w:rPr>
                <w:rFonts w:ascii="Times New Roman" w:eastAsia="Times New Roman" w:hAnsi="Times New Roman"/>
                <w:lang w:eastAsia="lt-LT"/>
              </w:rPr>
            </w:pPr>
          </w:p>
        </w:tc>
        <w:tc>
          <w:tcPr>
            <w:tcW w:w="2524" w:type="dxa"/>
            <w:shd w:val="clear" w:color="auto" w:fill="auto"/>
            <w:hideMark/>
          </w:tcPr>
          <w:p w14:paraId="619E90E2" w14:textId="0E1E1C9D" w:rsidR="008839D0" w:rsidRDefault="00B822CB" w:rsidP="00725A45">
            <w:pPr>
              <w:spacing w:after="0" w:line="240" w:lineRule="auto"/>
              <w:jc w:val="both"/>
              <w:rPr>
                <w:lang w:eastAsia="lt-LT"/>
              </w:rPr>
            </w:pPr>
            <w:r w:rsidRPr="00E90B0E">
              <w:rPr>
                <w:rFonts w:ascii="Times New Roman" w:eastAsia="Times New Roman" w:hAnsi="Times New Roman"/>
                <w:lang w:eastAsia="lt-LT"/>
              </w:rPr>
              <w:t xml:space="preserve">Numatoma rengti </w:t>
            </w:r>
            <w:r w:rsidR="00C80039">
              <w:rPr>
                <w:rFonts w:ascii="Times New Roman" w:eastAsia="Times New Roman" w:hAnsi="Times New Roman"/>
                <w:lang w:eastAsia="lt-LT"/>
              </w:rPr>
              <w:t xml:space="preserve">ir viešinti </w:t>
            </w:r>
            <w:r w:rsidR="0057632D" w:rsidRPr="00E90B0E">
              <w:rPr>
                <w:rFonts w:ascii="Times New Roman" w:eastAsia="Times New Roman" w:hAnsi="Times New Roman"/>
                <w:lang w:eastAsia="lt-LT"/>
              </w:rPr>
              <w:t>leidinius, teksto, garso, vaizdo informacines priemones</w:t>
            </w:r>
            <w:r w:rsidRPr="00E90B0E">
              <w:rPr>
                <w:rFonts w:ascii="Times New Roman" w:eastAsia="Times New Roman" w:hAnsi="Times New Roman"/>
                <w:lang w:eastAsia="lt-LT"/>
              </w:rPr>
              <w:t xml:space="preserve">.  </w:t>
            </w:r>
            <w:r w:rsidR="00534DA7" w:rsidRPr="00E90B0E">
              <w:rPr>
                <w:rFonts w:ascii="Times New Roman" w:eastAsia="Times New Roman" w:hAnsi="Times New Roman"/>
                <w:color w:val="000000"/>
                <w:lang w:eastAsia="lt-LT"/>
              </w:rPr>
              <w:t xml:space="preserve">EJRŽAF įgyvendinimo metu bus išleistas leidinys </w:t>
            </w:r>
            <w:r w:rsidR="006243C7" w:rsidRPr="00E90B0E">
              <w:rPr>
                <w:rFonts w:ascii="Times New Roman" w:eastAsia="Times New Roman" w:hAnsi="Times New Roman"/>
                <w:color w:val="000000"/>
                <w:lang w:eastAsia="lt-LT"/>
              </w:rPr>
              <w:t xml:space="preserve">(popierinis ir/ar elektroninis) </w:t>
            </w:r>
            <w:r w:rsidR="00534DA7" w:rsidRPr="00E90B0E">
              <w:rPr>
                <w:rFonts w:ascii="Times New Roman" w:eastAsia="Times New Roman" w:hAnsi="Times New Roman"/>
                <w:color w:val="000000"/>
                <w:lang w:eastAsia="lt-LT"/>
              </w:rPr>
              <w:t xml:space="preserve">dalinimui </w:t>
            </w:r>
            <w:r w:rsidR="00534DA7" w:rsidRPr="00E90B0E">
              <w:rPr>
                <w:rFonts w:ascii="Times New Roman" w:eastAsia="Times New Roman" w:hAnsi="Times New Roman"/>
                <w:color w:val="000000"/>
                <w:lang w:eastAsia="lt-LT"/>
              </w:rPr>
              <w:br/>
              <w:t xml:space="preserve">ir platinimui renginių metu), </w:t>
            </w:r>
            <w:r w:rsidR="00725A45">
              <w:rPr>
                <w:rFonts w:ascii="Times New Roman" w:eastAsia="Times New Roman" w:hAnsi="Times New Roman"/>
                <w:color w:val="000000"/>
                <w:lang w:eastAsia="lt-LT"/>
              </w:rPr>
              <w:t xml:space="preserve">pagaminta ir viešinama </w:t>
            </w:r>
            <w:r w:rsidR="00534DA7" w:rsidRPr="00E90B0E">
              <w:rPr>
                <w:rFonts w:ascii="Times New Roman" w:eastAsia="Times New Roman" w:hAnsi="Times New Roman"/>
                <w:color w:val="000000"/>
                <w:lang w:eastAsia="lt-LT"/>
              </w:rPr>
              <w:t xml:space="preserve">garso bei vaizdo ir reklaminė medžiaga. </w:t>
            </w:r>
            <w:r w:rsidR="008839D0">
              <w:t xml:space="preserve"> </w:t>
            </w:r>
          </w:p>
          <w:p w14:paraId="4F42D519" w14:textId="77777777" w:rsidR="008839D0" w:rsidRPr="00E90B0E" w:rsidRDefault="008839D0" w:rsidP="00E90B0E">
            <w:pPr>
              <w:spacing w:after="0" w:line="240" w:lineRule="auto"/>
              <w:jc w:val="both"/>
              <w:rPr>
                <w:rFonts w:ascii="Times New Roman" w:eastAsia="Times New Roman" w:hAnsi="Times New Roman"/>
                <w:color w:val="000000"/>
                <w:lang w:eastAsia="lt-LT"/>
              </w:rPr>
            </w:pPr>
          </w:p>
          <w:p w14:paraId="7A882FF9" w14:textId="04685692" w:rsidR="00534DA7" w:rsidRPr="00E90B0E" w:rsidRDefault="00534DA7" w:rsidP="00E90B0E">
            <w:pPr>
              <w:spacing w:after="0" w:line="240" w:lineRule="auto"/>
              <w:jc w:val="both"/>
              <w:rPr>
                <w:rFonts w:ascii="Times New Roman" w:eastAsia="Times New Roman" w:hAnsi="Times New Roman"/>
                <w:lang w:eastAsia="lt-LT"/>
              </w:rPr>
            </w:pPr>
          </w:p>
        </w:tc>
        <w:tc>
          <w:tcPr>
            <w:tcW w:w="1837" w:type="dxa"/>
            <w:shd w:val="clear" w:color="auto" w:fill="auto"/>
            <w:hideMark/>
          </w:tcPr>
          <w:p w14:paraId="55A55B0B"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Centrinės ir vietos valdžios institucijos, žiniasklaida, šalies visuomenė. </w:t>
            </w:r>
          </w:p>
        </w:tc>
        <w:tc>
          <w:tcPr>
            <w:tcW w:w="1586" w:type="dxa"/>
            <w:shd w:val="clear" w:color="auto" w:fill="auto"/>
          </w:tcPr>
          <w:p w14:paraId="43A28AF0" w14:textId="025082ED" w:rsidR="00B822CB" w:rsidRPr="00E90B0E" w:rsidRDefault="00E017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20</w:t>
            </w:r>
            <w:r w:rsidR="00B822CB" w:rsidRPr="00E90B0E">
              <w:rPr>
                <w:rFonts w:ascii="Times New Roman" w:eastAsia="Times New Roman" w:hAnsi="Times New Roman"/>
                <w:lang w:eastAsia="lt-LT"/>
              </w:rPr>
              <w:t xml:space="preserve"> 000,00</w:t>
            </w:r>
          </w:p>
        </w:tc>
        <w:tc>
          <w:tcPr>
            <w:tcW w:w="1888" w:type="dxa"/>
            <w:shd w:val="clear" w:color="auto" w:fill="auto"/>
          </w:tcPr>
          <w:p w14:paraId="4DB90023" w14:textId="0041C0A0" w:rsidR="00B822CB" w:rsidRPr="00E90B0E" w:rsidRDefault="0057632D"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Leidiniai  - 1 vnt. </w:t>
            </w:r>
            <w:r w:rsidR="00B822CB" w:rsidRPr="00E90B0E">
              <w:rPr>
                <w:rFonts w:ascii="Times New Roman" w:eastAsia="Times New Roman" w:hAnsi="Times New Roman"/>
                <w:lang w:eastAsia="lt-LT"/>
              </w:rPr>
              <w:t xml:space="preserve">Informacinės </w:t>
            </w:r>
            <w:proofErr w:type="spellStart"/>
            <w:r w:rsidR="00B822CB" w:rsidRPr="00E90B0E">
              <w:rPr>
                <w:rFonts w:ascii="Times New Roman" w:eastAsia="Times New Roman" w:hAnsi="Times New Roman"/>
                <w:lang w:eastAsia="lt-LT"/>
              </w:rPr>
              <w:t>video</w:t>
            </w:r>
            <w:proofErr w:type="spellEnd"/>
            <w:r w:rsidR="00B822CB" w:rsidRPr="00E90B0E">
              <w:rPr>
                <w:rFonts w:ascii="Times New Roman" w:eastAsia="Times New Roman" w:hAnsi="Times New Roman"/>
                <w:lang w:eastAsia="lt-LT"/>
              </w:rPr>
              <w:t xml:space="preserve"> medžiagos skaičius</w:t>
            </w:r>
            <w:r w:rsidR="00891FA8" w:rsidRPr="00E90B0E">
              <w:rPr>
                <w:rFonts w:ascii="Times New Roman" w:eastAsia="Times New Roman" w:hAnsi="Times New Roman"/>
                <w:lang w:eastAsia="lt-LT"/>
              </w:rPr>
              <w:t xml:space="preserve"> </w:t>
            </w:r>
            <w:r w:rsidR="00B822CB" w:rsidRPr="00E90B0E">
              <w:rPr>
                <w:rFonts w:ascii="Times New Roman" w:eastAsia="Times New Roman" w:hAnsi="Times New Roman"/>
                <w:lang w:eastAsia="lt-LT"/>
              </w:rPr>
              <w:t>–</w:t>
            </w:r>
            <w:r w:rsidR="00B0032E" w:rsidRPr="00E90B0E">
              <w:rPr>
                <w:rFonts w:ascii="Times New Roman" w:eastAsia="Times New Roman" w:hAnsi="Times New Roman"/>
                <w:lang w:eastAsia="lt-LT"/>
              </w:rPr>
              <w:t xml:space="preserve"> </w:t>
            </w:r>
            <w:r w:rsidR="000C4AEF" w:rsidRPr="00E90B0E">
              <w:rPr>
                <w:rFonts w:ascii="Times New Roman" w:eastAsia="Times New Roman" w:hAnsi="Times New Roman"/>
                <w:lang w:eastAsia="lt-LT"/>
              </w:rPr>
              <w:t>2</w:t>
            </w:r>
            <w:r w:rsidRPr="00E90B0E">
              <w:rPr>
                <w:rFonts w:ascii="Times New Roman" w:eastAsia="Times New Roman" w:hAnsi="Times New Roman"/>
                <w:lang w:eastAsia="lt-LT"/>
              </w:rPr>
              <w:t xml:space="preserve"> vnt.</w:t>
            </w:r>
          </w:p>
        </w:tc>
        <w:tc>
          <w:tcPr>
            <w:tcW w:w="1817" w:type="dxa"/>
          </w:tcPr>
          <w:p w14:paraId="4D472E95" w14:textId="77777777" w:rsidR="00B822CB" w:rsidRPr="00E90B0E" w:rsidRDefault="00B822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ŽŪM RVBS</w:t>
            </w:r>
          </w:p>
        </w:tc>
      </w:tr>
      <w:tr w:rsidR="00B822CB" w:rsidRPr="00E90B0E" w14:paraId="59D8BD51" w14:textId="77777777" w:rsidTr="002D7C15">
        <w:trPr>
          <w:trHeight w:val="70"/>
        </w:trPr>
        <w:tc>
          <w:tcPr>
            <w:tcW w:w="561" w:type="dxa"/>
            <w:vMerge w:val="restart"/>
            <w:shd w:val="clear" w:color="auto" w:fill="auto"/>
            <w:noWrap/>
            <w:vAlign w:val="center"/>
            <w:hideMark/>
          </w:tcPr>
          <w:p w14:paraId="2E68B18B" w14:textId="2D87D7F6" w:rsidR="00B822CB" w:rsidRPr="00E90B0E" w:rsidRDefault="001514E7"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3</w:t>
            </w:r>
            <w:r w:rsidR="00B822CB" w:rsidRPr="00E90B0E">
              <w:rPr>
                <w:rFonts w:ascii="Times New Roman" w:eastAsia="Times New Roman" w:hAnsi="Times New Roman"/>
                <w:lang w:eastAsia="lt-LT"/>
              </w:rPr>
              <w:t>.</w:t>
            </w:r>
          </w:p>
        </w:tc>
        <w:tc>
          <w:tcPr>
            <w:tcW w:w="1694" w:type="dxa"/>
            <w:vMerge w:val="restart"/>
            <w:shd w:val="clear" w:color="auto" w:fill="auto"/>
            <w:vAlign w:val="center"/>
            <w:hideMark/>
          </w:tcPr>
          <w:p w14:paraId="016FF0A0" w14:textId="48488076" w:rsidR="00B822CB" w:rsidRPr="00E90B0E" w:rsidRDefault="00B822CB" w:rsidP="00E90B0E">
            <w:pPr>
              <w:spacing w:after="0" w:line="240" w:lineRule="auto"/>
              <w:rPr>
                <w:rFonts w:ascii="Times New Roman" w:eastAsia="Times New Roman" w:hAnsi="Times New Roman"/>
                <w:b/>
                <w:bCs/>
                <w:lang w:eastAsia="lt-LT"/>
              </w:rPr>
            </w:pPr>
            <w:r w:rsidRPr="00E90B0E">
              <w:rPr>
                <w:rFonts w:ascii="Times New Roman" w:eastAsia="Times New Roman" w:hAnsi="Times New Roman"/>
                <w:b/>
                <w:bCs/>
                <w:lang w:eastAsia="lt-LT"/>
              </w:rPr>
              <w:t xml:space="preserve">Konferencijos, seminarai ir kiti renginiai </w:t>
            </w:r>
            <w:r w:rsidRPr="00E90B0E">
              <w:rPr>
                <w:rFonts w:ascii="Times New Roman" w:eastAsia="Times New Roman" w:hAnsi="Times New Roman"/>
                <w:b/>
                <w:bCs/>
                <w:lang w:eastAsia="lt-LT"/>
              </w:rPr>
              <w:lastRenderedPageBreak/>
              <w:t>susiję su EJRŽ</w:t>
            </w:r>
            <w:r w:rsidR="001514E7" w:rsidRPr="00E90B0E">
              <w:rPr>
                <w:rFonts w:ascii="Times New Roman" w:eastAsia="Times New Roman" w:hAnsi="Times New Roman"/>
                <w:b/>
                <w:bCs/>
                <w:lang w:eastAsia="lt-LT"/>
              </w:rPr>
              <w:t>A</w:t>
            </w:r>
            <w:r w:rsidRPr="00E90B0E">
              <w:rPr>
                <w:rFonts w:ascii="Times New Roman" w:eastAsia="Times New Roman" w:hAnsi="Times New Roman"/>
                <w:b/>
                <w:bCs/>
                <w:lang w:eastAsia="lt-LT"/>
              </w:rPr>
              <w:t xml:space="preserve">F ir viešinimu  </w:t>
            </w:r>
          </w:p>
        </w:tc>
        <w:tc>
          <w:tcPr>
            <w:tcW w:w="3105" w:type="dxa"/>
            <w:shd w:val="clear" w:color="auto" w:fill="auto"/>
            <w:hideMark/>
          </w:tcPr>
          <w:p w14:paraId="3E6ED668" w14:textId="060009D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lastRenderedPageBreak/>
              <w:t xml:space="preserve">Užtikrinti tiesioginį ir grįžtamąjį ryšį su galimais paramos gavėjais, socialiniais partneriais, </w:t>
            </w:r>
            <w:r w:rsidRPr="00E90B0E">
              <w:rPr>
                <w:rFonts w:ascii="Times New Roman" w:eastAsia="Times New Roman" w:hAnsi="Times New Roman"/>
                <w:lang w:eastAsia="lt-LT"/>
              </w:rPr>
              <w:lastRenderedPageBreak/>
              <w:t>viešosios informacijos rengėjais ir skleidėjais. Teikti informaciją visuomenei ir formuoti objektyvią nuomonę apie  EJRŽAF, jo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3D243B09"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2524" w:type="dxa"/>
            <w:shd w:val="clear" w:color="auto" w:fill="auto"/>
            <w:hideMark/>
          </w:tcPr>
          <w:p w14:paraId="31F992C0" w14:textId="38AD7E56"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lastRenderedPageBreak/>
              <w:t>Informacinio ir</w:t>
            </w:r>
            <w:r w:rsidR="00071514" w:rsidRPr="00E90B0E">
              <w:rPr>
                <w:rFonts w:ascii="Times New Roman" w:eastAsia="Times New Roman" w:hAnsi="Times New Roman"/>
                <w:lang w:eastAsia="lt-LT"/>
              </w:rPr>
              <w:t>/arba</w:t>
            </w:r>
            <w:r w:rsidRPr="00E90B0E">
              <w:rPr>
                <w:rFonts w:ascii="Times New Roman" w:eastAsia="Times New Roman" w:hAnsi="Times New Roman"/>
                <w:lang w:eastAsia="lt-LT"/>
              </w:rPr>
              <w:t xml:space="preserve"> mokomojo pobūdžio renginiai, konferencijos, </w:t>
            </w:r>
            <w:r w:rsidRPr="00E90B0E">
              <w:rPr>
                <w:rFonts w:ascii="Times New Roman" w:eastAsia="Times New Roman" w:hAnsi="Times New Roman"/>
                <w:lang w:eastAsia="lt-LT"/>
              </w:rPr>
              <w:lastRenderedPageBreak/>
              <w:t xml:space="preserve">seminarai, konkursai ir supažindinimas su žuvininkystės sektoriaus raida šalyje ir užsienyje pagal atskiras EJRŽAF priemones ir temas tam tikroms tikslinėms grupėms. Šių renginių metu bus nagrinėjami konkrečių EJRŽAF  priemonių tikslai, patirtis, EJRŽAF  naujovėmis, įgyvendinimo rezultatais, ir pan. Organizuojami renginiai apskrityse ir seniūnijose pagal poreikį. </w:t>
            </w:r>
          </w:p>
        </w:tc>
        <w:tc>
          <w:tcPr>
            <w:tcW w:w="1837" w:type="dxa"/>
            <w:shd w:val="clear" w:color="auto" w:fill="auto"/>
            <w:hideMark/>
          </w:tcPr>
          <w:p w14:paraId="4E7F985B" w14:textId="1FA8331D"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lastRenderedPageBreak/>
              <w:t xml:space="preserve">Centrinės ir vietos valdžios institucijos, </w:t>
            </w:r>
            <w:r w:rsidRPr="00E90B0E">
              <w:rPr>
                <w:rFonts w:ascii="Times New Roman" w:eastAsia="Times New Roman" w:hAnsi="Times New Roman"/>
                <w:lang w:eastAsia="lt-LT"/>
              </w:rPr>
              <w:lastRenderedPageBreak/>
              <w:t>socialiniai partneriai, su EJRŽAF įgyvendinimu susijusių įstaigų, organizacijų specialistai, konsultantai, galimi pareiškėjai, paramos gavėjai, viešosios informacijos rengėjai ir skleidėjai bei kiti asmenys</w:t>
            </w:r>
            <w:r w:rsidR="00D025DE" w:rsidRPr="00E90B0E">
              <w:rPr>
                <w:rFonts w:ascii="Times New Roman" w:eastAsia="Times New Roman" w:hAnsi="Times New Roman"/>
                <w:lang w:eastAsia="lt-LT"/>
              </w:rPr>
              <w:t>, visuomenė</w:t>
            </w:r>
          </w:p>
        </w:tc>
        <w:tc>
          <w:tcPr>
            <w:tcW w:w="1586" w:type="dxa"/>
            <w:shd w:val="clear" w:color="auto" w:fill="auto"/>
            <w:hideMark/>
          </w:tcPr>
          <w:p w14:paraId="1004B547" w14:textId="1E7C30EB" w:rsidR="00542205" w:rsidRPr="001D453D" w:rsidRDefault="00542205" w:rsidP="00E90B0E">
            <w:pPr>
              <w:spacing w:after="0" w:line="240" w:lineRule="auto"/>
              <w:jc w:val="center"/>
              <w:rPr>
                <w:rFonts w:ascii="Times New Roman" w:eastAsia="Times New Roman" w:hAnsi="Times New Roman"/>
                <w:bCs/>
                <w:lang w:eastAsia="lt-LT"/>
              </w:rPr>
            </w:pPr>
            <w:r w:rsidRPr="001D453D">
              <w:rPr>
                <w:rFonts w:ascii="Times New Roman" w:eastAsia="Times New Roman" w:hAnsi="Times New Roman"/>
                <w:bCs/>
                <w:lang w:eastAsia="lt-LT"/>
              </w:rPr>
              <w:lastRenderedPageBreak/>
              <w:t>27 000,00</w:t>
            </w:r>
          </w:p>
        </w:tc>
        <w:tc>
          <w:tcPr>
            <w:tcW w:w="1888" w:type="dxa"/>
            <w:shd w:val="clear" w:color="auto" w:fill="auto"/>
            <w:hideMark/>
          </w:tcPr>
          <w:p w14:paraId="1FAB0C95" w14:textId="2BC96FD5" w:rsidR="00B822CB" w:rsidRPr="001D453D" w:rsidRDefault="00B822CB" w:rsidP="00E90B0E">
            <w:pPr>
              <w:spacing w:after="0" w:line="240" w:lineRule="auto"/>
              <w:jc w:val="both"/>
              <w:rPr>
                <w:rFonts w:ascii="Times New Roman" w:eastAsia="Times New Roman" w:hAnsi="Times New Roman"/>
                <w:lang w:eastAsia="lt-LT"/>
              </w:rPr>
            </w:pPr>
            <w:r w:rsidRPr="001D453D">
              <w:rPr>
                <w:rFonts w:ascii="Times New Roman" w:eastAsia="Times New Roman" w:hAnsi="Times New Roman"/>
                <w:lang w:eastAsia="lt-LT"/>
              </w:rPr>
              <w:t xml:space="preserve">Organizuotų renginių skaičius – </w:t>
            </w:r>
            <w:r w:rsidR="009549DD" w:rsidRPr="001D453D">
              <w:rPr>
                <w:rFonts w:ascii="Times New Roman" w:eastAsia="Times New Roman" w:hAnsi="Times New Roman"/>
                <w:lang w:eastAsia="lt-LT"/>
              </w:rPr>
              <w:t xml:space="preserve"> 3 </w:t>
            </w:r>
            <w:r w:rsidRPr="001D453D">
              <w:rPr>
                <w:rFonts w:ascii="Times New Roman" w:eastAsia="Times New Roman" w:hAnsi="Times New Roman"/>
                <w:lang w:eastAsia="lt-LT"/>
              </w:rPr>
              <w:t>vnt.</w:t>
            </w:r>
          </w:p>
          <w:p w14:paraId="000E74EB" w14:textId="77777777" w:rsidR="00B822CB" w:rsidRPr="001D453D" w:rsidRDefault="00B822CB" w:rsidP="00E90B0E">
            <w:pPr>
              <w:spacing w:after="0" w:line="240" w:lineRule="auto"/>
              <w:jc w:val="both"/>
              <w:rPr>
                <w:rFonts w:ascii="Times New Roman" w:eastAsia="Times New Roman" w:hAnsi="Times New Roman"/>
                <w:lang w:eastAsia="lt-LT"/>
              </w:rPr>
            </w:pPr>
          </w:p>
        </w:tc>
        <w:tc>
          <w:tcPr>
            <w:tcW w:w="1817" w:type="dxa"/>
            <w:shd w:val="clear" w:color="auto" w:fill="auto"/>
          </w:tcPr>
          <w:p w14:paraId="45A8051B" w14:textId="77777777" w:rsidR="00B822CB" w:rsidRPr="00E90B0E" w:rsidRDefault="00B822CB"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ŽŪM RVBS</w:t>
            </w:r>
          </w:p>
        </w:tc>
      </w:tr>
      <w:tr w:rsidR="00511CE2" w:rsidRPr="00E90B0E" w14:paraId="4E7C691E" w14:textId="77777777" w:rsidTr="00CB2743">
        <w:trPr>
          <w:trHeight w:val="1638"/>
        </w:trPr>
        <w:tc>
          <w:tcPr>
            <w:tcW w:w="561" w:type="dxa"/>
            <w:vMerge/>
            <w:shd w:val="clear" w:color="auto" w:fill="auto"/>
            <w:noWrap/>
            <w:vAlign w:val="center"/>
          </w:tcPr>
          <w:p w14:paraId="6AE3B21A" w14:textId="77777777" w:rsidR="00511CE2" w:rsidRPr="00E90B0E" w:rsidRDefault="00511CE2" w:rsidP="00E90B0E">
            <w:pPr>
              <w:spacing w:after="0" w:line="240" w:lineRule="auto"/>
              <w:jc w:val="center"/>
              <w:rPr>
                <w:rFonts w:ascii="Times New Roman" w:eastAsia="Times New Roman" w:hAnsi="Times New Roman"/>
                <w:lang w:eastAsia="lt-LT"/>
              </w:rPr>
            </w:pPr>
          </w:p>
        </w:tc>
        <w:tc>
          <w:tcPr>
            <w:tcW w:w="1694" w:type="dxa"/>
            <w:vMerge/>
            <w:shd w:val="clear" w:color="auto" w:fill="auto"/>
            <w:vAlign w:val="center"/>
          </w:tcPr>
          <w:p w14:paraId="3C347BF1" w14:textId="77777777" w:rsidR="00511CE2" w:rsidRPr="00E90B0E" w:rsidRDefault="00511CE2" w:rsidP="00E90B0E">
            <w:pPr>
              <w:spacing w:after="0" w:line="240" w:lineRule="auto"/>
              <w:rPr>
                <w:rFonts w:ascii="Times New Roman" w:eastAsia="Times New Roman" w:hAnsi="Times New Roman"/>
                <w:b/>
                <w:bCs/>
                <w:lang w:eastAsia="lt-LT"/>
              </w:rPr>
            </w:pPr>
          </w:p>
        </w:tc>
        <w:tc>
          <w:tcPr>
            <w:tcW w:w="3105" w:type="dxa"/>
            <w:shd w:val="clear" w:color="auto" w:fill="auto"/>
          </w:tcPr>
          <w:p w14:paraId="4483A6FD" w14:textId="6682B0F9" w:rsidR="00511CE2" w:rsidRPr="00E90B0E" w:rsidRDefault="00511CE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Apskritojo stalo diskusijų metu skleisti informaciją apie paramos administravimo sistemą bei gauti pasiūlymų efektyvesniam paramos administravimui.</w:t>
            </w:r>
          </w:p>
        </w:tc>
        <w:tc>
          <w:tcPr>
            <w:tcW w:w="2524" w:type="dxa"/>
            <w:shd w:val="clear" w:color="auto" w:fill="auto"/>
          </w:tcPr>
          <w:p w14:paraId="09AA1AF8" w14:textId="39612D07" w:rsidR="00511CE2" w:rsidRPr="00E90B0E" w:rsidRDefault="00511CE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Apskritojo stalų diskusijų organizavimas.</w:t>
            </w:r>
          </w:p>
        </w:tc>
        <w:tc>
          <w:tcPr>
            <w:tcW w:w="1837" w:type="dxa"/>
            <w:shd w:val="clear" w:color="auto" w:fill="auto"/>
          </w:tcPr>
          <w:p w14:paraId="5DD95483" w14:textId="5EDCB83F" w:rsidR="00511CE2" w:rsidRPr="00E90B0E" w:rsidRDefault="00511CE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Galimi ir esami pareiškėjai bei paramos gavėjai, socialiniai partneriai. </w:t>
            </w:r>
          </w:p>
        </w:tc>
        <w:tc>
          <w:tcPr>
            <w:tcW w:w="1586" w:type="dxa"/>
            <w:shd w:val="clear" w:color="auto" w:fill="auto"/>
          </w:tcPr>
          <w:p w14:paraId="758C1D2C" w14:textId="785F2B5E" w:rsidR="00511CE2" w:rsidRPr="00E90B0E" w:rsidRDefault="00511CE2"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7042,00</w:t>
            </w:r>
          </w:p>
        </w:tc>
        <w:tc>
          <w:tcPr>
            <w:tcW w:w="1888" w:type="dxa"/>
            <w:shd w:val="clear" w:color="auto" w:fill="auto"/>
          </w:tcPr>
          <w:p w14:paraId="1B481D4B" w14:textId="5439E907" w:rsidR="00511CE2" w:rsidRPr="00E90B0E" w:rsidRDefault="00511CE2"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Renginių skaičius – 2 vnt.</w:t>
            </w:r>
          </w:p>
        </w:tc>
        <w:tc>
          <w:tcPr>
            <w:tcW w:w="1817" w:type="dxa"/>
            <w:shd w:val="clear" w:color="auto" w:fill="auto"/>
          </w:tcPr>
          <w:p w14:paraId="389886E9" w14:textId="3CF6502A" w:rsidR="00511CE2" w:rsidRPr="00E90B0E" w:rsidRDefault="00511CE2"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lang w:eastAsia="lt-LT"/>
              </w:rPr>
              <w:t>NMA</w:t>
            </w:r>
          </w:p>
        </w:tc>
      </w:tr>
      <w:tr w:rsidR="00B822CB" w:rsidRPr="00E90B0E" w14:paraId="76D6DE9C" w14:textId="77777777" w:rsidTr="00CB2743">
        <w:trPr>
          <w:trHeight w:val="1498"/>
        </w:trPr>
        <w:tc>
          <w:tcPr>
            <w:tcW w:w="561" w:type="dxa"/>
            <w:shd w:val="clear" w:color="auto" w:fill="auto"/>
            <w:noWrap/>
            <w:vAlign w:val="center"/>
            <w:hideMark/>
          </w:tcPr>
          <w:p w14:paraId="15D980E3" w14:textId="70B6558B" w:rsidR="00B822CB" w:rsidRPr="00E90B0E" w:rsidRDefault="009B642A"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t>4</w:t>
            </w:r>
            <w:r w:rsidR="00B822CB" w:rsidRPr="00E90B0E">
              <w:rPr>
                <w:rFonts w:ascii="Times New Roman" w:eastAsia="Times New Roman" w:hAnsi="Times New Roman"/>
                <w:lang w:eastAsia="lt-LT"/>
              </w:rPr>
              <w:t>.</w:t>
            </w:r>
          </w:p>
        </w:tc>
        <w:tc>
          <w:tcPr>
            <w:tcW w:w="1694" w:type="dxa"/>
            <w:shd w:val="clear" w:color="auto" w:fill="auto"/>
            <w:vAlign w:val="center"/>
            <w:hideMark/>
          </w:tcPr>
          <w:p w14:paraId="543247E6" w14:textId="77777777" w:rsidR="00B822CB" w:rsidRPr="00E90B0E" w:rsidRDefault="00B822CB" w:rsidP="00E90B0E">
            <w:pPr>
              <w:spacing w:after="0" w:line="240" w:lineRule="auto"/>
              <w:rPr>
                <w:rFonts w:ascii="Times New Roman" w:eastAsia="Times New Roman" w:hAnsi="Times New Roman"/>
                <w:b/>
                <w:bCs/>
                <w:lang w:eastAsia="lt-LT"/>
              </w:rPr>
            </w:pPr>
            <w:r w:rsidRPr="00E90B0E">
              <w:rPr>
                <w:rFonts w:ascii="Times New Roman" w:eastAsia="Times New Roman" w:hAnsi="Times New Roman"/>
                <w:b/>
                <w:bCs/>
                <w:lang w:eastAsia="lt-LT"/>
              </w:rPr>
              <w:t>Parodos</w:t>
            </w:r>
          </w:p>
        </w:tc>
        <w:tc>
          <w:tcPr>
            <w:tcW w:w="3105" w:type="dxa"/>
            <w:shd w:val="clear" w:color="auto" w:fill="auto"/>
            <w:hideMark/>
          </w:tcPr>
          <w:p w14:paraId="27FD2EAE" w14:textId="0E0A42D5"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Skleisti informaciją apie  EJRŽAF, formuoti objektyvią nuomonę apie žuvininkystės sektoriaus politiką ir informuoti apie aktyvų Lietuvos dalyvavimą joje, sektinus paramos panaudojimo atvejus.</w:t>
            </w:r>
          </w:p>
          <w:p w14:paraId="36F480CF"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2524" w:type="dxa"/>
            <w:shd w:val="clear" w:color="auto" w:fill="auto"/>
            <w:hideMark/>
          </w:tcPr>
          <w:p w14:paraId="5CFE567F" w14:textId="3AB2A9DD"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Dalyvauti su žuvininkyste ir žemės ūkiu susijusiose parodose, kurių metu būtų aktyviai pristatomas EJRŽ</w:t>
            </w:r>
            <w:r w:rsidR="001514E7" w:rsidRPr="00E90B0E">
              <w:rPr>
                <w:rFonts w:ascii="Times New Roman" w:eastAsia="Times New Roman" w:hAnsi="Times New Roman"/>
                <w:lang w:eastAsia="lt-LT"/>
              </w:rPr>
              <w:t>A</w:t>
            </w:r>
            <w:r w:rsidRPr="00E90B0E">
              <w:rPr>
                <w:rFonts w:ascii="Times New Roman" w:eastAsia="Times New Roman" w:hAnsi="Times New Roman"/>
                <w:lang w:eastAsia="lt-LT"/>
              </w:rPr>
              <w:t xml:space="preserve">F, supažindinama su fondo veikla.                                  </w:t>
            </w:r>
          </w:p>
        </w:tc>
        <w:tc>
          <w:tcPr>
            <w:tcW w:w="1837" w:type="dxa"/>
            <w:shd w:val="clear" w:color="auto" w:fill="auto"/>
            <w:hideMark/>
          </w:tcPr>
          <w:p w14:paraId="2449230D"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Visuomenė, centrinės ir vietos valdžios institucijos, socialiniai ir</w:t>
            </w:r>
            <w:r w:rsidRPr="00E90B0E">
              <w:rPr>
                <w:rFonts w:ascii="Times New Roman" w:eastAsia="Times New Roman" w:hAnsi="Times New Roman"/>
                <w:lang w:eastAsia="lt-LT"/>
              </w:rPr>
              <w:br/>
              <w:t xml:space="preserve">ekonominiai  partneriai, </w:t>
            </w:r>
            <w:r w:rsidRPr="00E90B0E">
              <w:rPr>
                <w:rFonts w:ascii="Times New Roman" w:eastAsia="Times New Roman" w:hAnsi="Times New Roman"/>
                <w:lang w:eastAsia="lt-LT"/>
              </w:rPr>
              <w:br/>
              <w:t>parodų lankytojai.</w:t>
            </w:r>
          </w:p>
        </w:tc>
        <w:tc>
          <w:tcPr>
            <w:tcW w:w="1586" w:type="dxa"/>
            <w:shd w:val="clear" w:color="auto" w:fill="auto"/>
            <w:hideMark/>
          </w:tcPr>
          <w:p w14:paraId="24D26631" w14:textId="5B401751" w:rsidR="00542205" w:rsidRPr="00B83731" w:rsidRDefault="006B6C6B" w:rsidP="00E90B0E">
            <w:pPr>
              <w:spacing w:after="0" w:line="240" w:lineRule="auto"/>
              <w:jc w:val="center"/>
              <w:rPr>
                <w:rFonts w:ascii="Times New Roman" w:eastAsia="Times New Roman" w:hAnsi="Times New Roman"/>
                <w:lang w:eastAsia="lt-LT"/>
              </w:rPr>
            </w:pPr>
            <w:r w:rsidRPr="001D453D">
              <w:rPr>
                <w:rFonts w:ascii="Times New Roman" w:eastAsia="Times New Roman" w:hAnsi="Times New Roman"/>
                <w:lang w:eastAsia="lt-LT"/>
              </w:rPr>
              <w:t>9 8</w:t>
            </w:r>
            <w:r w:rsidR="00542205" w:rsidRPr="001D453D">
              <w:rPr>
                <w:rFonts w:ascii="Times New Roman" w:eastAsia="Times New Roman" w:hAnsi="Times New Roman"/>
                <w:lang w:eastAsia="lt-LT"/>
              </w:rPr>
              <w:t>00,00</w:t>
            </w:r>
          </w:p>
        </w:tc>
        <w:tc>
          <w:tcPr>
            <w:tcW w:w="1888" w:type="dxa"/>
            <w:shd w:val="clear" w:color="auto" w:fill="auto"/>
            <w:hideMark/>
          </w:tcPr>
          <w:p w14:paraId="2B52AB4C" w14:textId="77777777" w:rsid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Dalyvavimas parodose </w:t>
            </w:r>
          </w:p>
          <w:p w14:paraId="36A72FAE" w14:textId="7981ACE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w:t>
            </w:r>
            <w:r w:rsidR="00542205">
              <w:rPr>
                <w:rFonts w:ascii="Times New Roman" w:eastAsia="Times New Roman" w:hAnsi="Times New Roman"/>
                <w:lang w:eastAsia="lt-LT"/>
              </w:rPr>
              <w:t xml:space="preserve"> </w:t>
            </w:r>
            <w:r w:rsidR="00542205" w:rsidRPr="00542205">
              <w:rPr>
                <w:rFonts w:ascii="Times New Roman" w:eastAsia="Times New Roman" w:hAnsi="Times New Roman"/>
                <w:b/>
                <w:bCs/>
                <w:lang w:eastAsia="lt-LT"/>
              </w:rPr>
              <w:t>1</w:t>
            </w:r>
            <w:r w:rsidRPr="00E90B0E">
              <w:rPr>
                <w:rFonts w:ascii="Times New Roman" w:eastAsia="Times New Roman" w:hAnsi="Times New Roman"/>
                <w:lang w:eastAsia="lt-LT"/>
              </w:rPr>
              <w:t xml:space="preserve"> vnt.</w:t>
            </w:r>
          </w:p>
          <w:p w14:paraId="46DD03CC"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1817" w:type="dxa"/>
          </w:tcPr>
          <w:p w14:paraId="27E77DEE" w14:textId="77777777" w:rsidR="00B822CB" w:rsidRPr="00E90B0E" w:rsidRDefault="00B822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ŽŪM RVBS</w:t>
            </w:r>
          </w:p>
        </w:tc>
      </w:tr>
      <w:tr w:rsidR="00B822CB" w:rsidRPr="00E90B0E" w14:paraId="2DCEED0D" w14:textId="77777777" w:rsidTr="00AC6EAD">
        <w:trPr>
          <w:trHeight w:val="3757"/>
        </w:trPr>
        <w:tc>
          <w:tcPr>
            <w:tcW w:w="561" w:type="dxa"/>
            <w:shd w:val="clear" w:color="auto" w:fill="auto"/>
            <w:noWrap/>
            <w:vAlign w:val="center"/>
            <w:hideMark/>
          </w:tcPr>
          <w:p w14:paraId="68E2C21C" w14:textId="7F864BCB" w:rsidR="00B822CB" w:rsidRPr="00E90B0E" w:rsidRDefault="009B642A"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lang w:eastAsia="lt-LT"/>
              </w:rPr>
              <w:lastRenderedPageBreak/>
              <w:t>5</w:t>
            </w:r>
            <w:r w:rsidR="00B822CB" w:rsidRPr="00E90B0E">
              <w:rPr>
                <w:rFonts w:ascii="Times New Roman" w:eastAsia="Times New Roman" w:hAnsi="Times New Roman"/>
                <w:lang w:eastAsia="lt-LT"/>
              </w:rPr>
              <w:t>.</w:t>
            </w:r>
          </w:p>
        </w:tc>
        <w:tc>
          <w:tcPr>
            <w:tcW w:w="1694" w:type="dxa"/>
            <w:shd w:val="clear" w:color="auto" w:fill="auto"/>
            <w:vAlign w:val="center"/>
            <w:hideMark/>
          </w:tcPr>
          <w:p w14:paraId="5E3DAB53" w14:textId="29A9E27C" w:rsidR="00B822CB" w:rsidRPr="00E90B0E" w:rsidRDefault="006C74F2" w:rsidP="00E90B0E">
            <w:pPr>
              <w:spacing w:after="0" w:line="240" w:lineRule="auto"/>
              <w:rPr>
                <w:rFonts w:ascii="Times New Roman" w:eastAsia="Times New Roman" w:hAnsi="Times New Roman"/>
                <w:b/>
                <w:bCs/>
                <w:lang w:eastAsia="lt-LT"/>
              </w:rPr>
            </w:pPr>
            <w:r w:rsidRPr="00E90B0E">
              <w:rPr>
                <w:rFonts w:ascii="Times New Roman" w:eastAsia="Times New Roman" w:hAnsi="Times New Roman"/>
                <w:b/>
                <w:bCs/>
                <w:lang w:eastAsia="lt-LT"/>
              </w:rPr>
              <w:t>P</w:t>
            </w:r>
            <w:r w:rsidR="00B822CB" w:rsidRPr="00E90B0E">
              <w:rPr>
                <w:rFonts w:ascii="Times New Roman" w:eastAsia="Times New Roman" w:hAnsi="Times New Roman"/>
                <w:b/>
                <w:bCs/>
                <w:lang w:eastAsia="lt-LT"/>
              </w:rPr>
              <w:t>aženklintos viešinimo priemonės</w:t>
            </w:r>
          </w:p>
          <w:p w14:paraId="7EE2725B" w14:textId="77777777" w:rsidR="00B822CB" w:rsidRPr="00E90B0E" w:rsidRDefault="00B822CB" w:rsidP="00E90B0E">
            <w:pPr>
              <w:spacing w:after="0" w:line="240" w:lineRule="auto"/>
              <w:rPr>
                <w:rFonts w:ascii="Times New Roman" w:eastAsia="Times New Roman" w:hAnsi="Times New Roman"/>
                <w:b/>
                <w:bCs/>
                <w:lang w:eastAsia="lt-LT"/>
              </w:rPr>
            </w:pPr>
          </w:p>
        </w:tc>
        <w:tc>
          <w:tcPr>
            <w:tcW w:w="3105" w:type="dxa"/>
            <w:shd w:val="clear" w:color="auto" w:fill="auto"/>
            <w:hideMark/>
          </w:tcPr>
          <w:p w14:paraId="5049F9C7"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Informuoti visuomenę apie informacijos šaltinius, kurti teigiamą nuomonę apie ES žuvininkystės politiką ir Lietuvos dalyvavimą joje.</w:t>
            </w:r>
          </w:p>
        </w:tc>
        <w:tc>
          <w:tcPr>
            <w:tcW w:w="2524" w:type="dxa"/>
            <w:shd w:val="clear" w:color="auto" w:fill="auto"/>
            <w:hideMark/>
          </w:tcPr>
          <w:p w14:paraId="410036B6" w14:textId="3FDE9952"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Išorinės ženklinimo priemonės E</w:t>
            </w:r>
            <w:r w:rsidR="006C74F2" w:rsidRPr="00E90B0E">
              <w:rPr>
                <w:rFonts w:ascii="Times New Roman" w:eastAsia="Times New Roman" w:hAnsi="Times New Roman"/>
                <w:lang w:eastAsia="lt-LT"/>
              </w:rPr>
              <w:t>S paramos</w:t>
            </w:r>
            <w:r w:rsidRPr="00E90B0E">
              <w:rPr>
                <w:rFonts w:ascii="Times New Roman" w:eastAsia="Times New Roman" w:hAnsi="Times New Roman"/>
                <w:lang w:eastAsia="lt-LT"/>
              </w:rPr>
              <w:t xml:space="preserve"> įvaizdžiui formuoti (smulkūs suvenyrai su </w:t>
            </w:r>
            <w:r w:rsidR="006C74F2" w:rsidRPr="00E90B0E">
              <w:rPr>
                <w:rFonts w:ascii="Times New Roman" w:eastAsia="Times New Roman" w:hAnsi="Times New Roman"/>
                <w:lang w:eastAsia="lt-LT"/>
              </w:rPr>
              <w:t>ES</w:t>
            </w:r>
            <w:r w:rsidRPr="00E90B0E">
              <w:rPr>
                <w:rFonts w:ascii="Times New Roman" w:eastAsia="Times New Roman" w:hAnsi="Times New Roman"/>
                <w:lang w:eastAsia="lt-LT"/>
              </w:rPr>
              <w:t xml:space="preserve">   simbolika.) naudojami įvairiuose renginiuose, parodose kaip </w:t>
            </w:r>
            <w:proofErr w:type="spellStart"/>
            <w:r w:rsidRPr="00E90B0E">
              <w:rPr>
                <w:rFonts w:ascii="Times New Roman" w:eastAsia="Times New Roman" w:hAnsi="Times New Roman"/>
                <w:lang w:eastAsia="lt-LT"/>
              </w:rPr>
              <w:t>dalomoji</w:t>
            </w:r>
            <w:proofErr w:type="spellEnd"/>
            <w:r w:rsidRPr="00E90B0E">
              <w:rPr>
                <w:rFonts w:ascii="Times New Roman" w:eastAsia="Times New Roman" w:hAnsi="Times New Roman"/>
                <w:lang w:eastAsia="lt-LT"/>
              </w:rPr>
              <w:t xml:space="preserve"> priemonė.</w:t>
            </w:r>
          </w:p>
          <w:p w14:paraId="403FC1C7"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1837" w:type="dxa"/>
            <w:shd w:val="clear" w:color="auto" w:fill="auto"/>
            <w:hideMark/>
          </w:tcPr>
          <w:p w14:paraId="68F9CB14" w14:textId="634828A5"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Visuomenė, socialiniai partneriai, galimi pareiškėjai, paramos gavėjai, viešosios informacijos rengėjai ir skleidėjai, kt. su  EJRŽAF įgyvendinimu susijusios institucijos ir organizacijos.</w:t>
            </w:r>
          </w:p>
          <w:p w14:paraId="51F0ABA9"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1586" w:type="dxa"/>
            <w:shd w:val="clear" w:color="auto" w:fill="auto"/>
            <w:hideMark/>
          </w:tcPr>
          <w:p w14:paraId="18F653BB" w14:textId="0050F313" w:rsidR="00B822CB" w:rsidRPr="00E90B0E" w:rsidRDefault="00BC5AB3"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12</w:t>
            </w:r>
            <w:r w:rsidR="00B822CB" w:rsidRPr="00E90B0E">
              <w:rPr>
                <w:rFonts w:ascii="Times New Roman" w:eastAsia="Times New Roman" w:hAnsi="Times New Roman"/>
                <w:bCs/>
                <w:lang w:eastAsia="lt-LT"/>
              </w:rPr>
              <w:t xml:space="preserve"> </w:t>
            </w:r>
            <w:r w:rsidR="007E15EB" w:rsidRPr="00E90B0E">
              <w:rPr>
                <w:rFonts w:ascii="Times New Roman" w:eastAsia="Times New Roman" w:hAnsi="Times New Roman"/>
                <w:bCs/>
                <w:lang w:eastAsia="lt-LT"/>
              </w:rPr>
              <w:t>0</w:t>
            </w:r>
            <w:r w:rsidR="00B822CB" w:rsidRPr="00E90B0E">
              <w:rPr>
                <w:rFonts w:ascii="Times New Roman" w:eastAsia="Times New Roman" w:hAnsi="Times New Roman"/>
                <w:bCs/>
                <w:lang w:eastAsia="lt-LT"/>
              </w:rPr>
              <w:t>00,00</w:t>
            </w:r>
          </w:p>
        </w:tc>
        <w:tc>
          <w:tcPr>
            <w:tcW w:w="1888" w:type="dxa"/>
            <w:shd w:val="clear" w:color="auto" w:fill="auto"/>
            <w:hideMark/>
          </w:tcPr>
          <w:p w14:paraId="3CF6DE89" w14:textId="0D6B0E55"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Priemonių skaičius – </w:t>
            </w:r>
            <w:r w:rsidR="00BC5AB3" w:rsidRPr="00E90B0E">
              <w:rPr>
                <w:rFonts w:ascii="Times New Roman" w:eastAsia="Times New Roman" w:hAnsi="Times New Roman"/>
                <w:lang w:eastAsia="lt-LT"/>
              </w:rPr>
              <w:t>5</w:t>
            </w:r>
            <w:r w:rsidRPr="00E90B0E">
              <w:rPr>
                <w:rFonts w:ascii="Times New Roman" w:eastAsia="Times New Roman" w:hAnsi="Times New Roman"/>
                <w:lang w:eastAsia="lt-LT"/>
              </w:rPr>
              <w:t xml:space="preserve">000 vnt. </w:t>
            </w:r>
          </w:p>
        </w:tc>
        <w:tc>
          <w:tcPr>
            <w:tcW w:w="1817" w:type="dxa"/>
            <w:shd w:val="clear" w:color="auto" w:fill="auto"/>
          </w:tcPr>
          <w:p w14:paraId="65C4110C" w14:textId="77777777" w:rsidR="00B822CB" w:rsidRPr="00E90B0E" w:rsidRDefault="00B822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ŽŪM RVBS</w:t>
            </w:r>
          </w:p>
        </w:tc>
      </w:tr>
      <w:tr w:rsidR="00B822CB" w:rsidRPr="00E90B0E" w14:paraId="5607D7C1" w14:textId="77777777" w:rsidTr="00CB2743">
        <w:trPr>
          <w:trHeight w:val="4635"/>
        </w:trPr>
        <w:tc>
          <w:tcPr>
            <w:tcW w:w="561" w:type="dxa"/>
            <w:vMerge w:val="restart"/>
            <w:shd w:val="clear" w:color="auto" w:fill="auto"/>
            <w:noWrap/>
            <w:vAlign w:val="center"/>
            <w:hideMark/>
          </w:tcPr>
          <w:p w14:paraId="7668D094" w14:textId="26E2AF74" w:rsidR="00B822CB" w:rsidRPr="00E90B0E" w:rsidRDefault="000C4DDD" w:rsidP="00E90B0E">
            <w:pPr>
              <w:spacing w:after="0" w:line="240" w:lineRule="auto"/>
              <w:rPr>
                <w:rFonts w:ascii="Times New Roman" w:eastAsia="Times New Roman" w:hAnsi="Times New Roman"/>
                <w:lang w:eastAsia="lt-LT"/>
              </w:rPr>
            </w:pPr>
            <w:r w:rsidRPr="00E90B0E">
              <w:rPr>
                <w:rFonts w:ascii="Times New Roman" w:eastAsia="Times New Roman" w:hAnsi="Times New Roman"/>
                <w:lang w:eastAsia="lt-LT"/>
              </w:rPr>
              <w:t>6</w:t>
            </w:r>
            <w:r w:rsidR="00B822CB" w:rsidRPr="00E90B0E">
              <w:rPr>
                <w:rFonts w:ascii="Times New Roman" w:eastAsia="Times New Roman" w:hAnsi="Times New Roman"/>
                <w:lang w:eastAsia="lt-LT"/>
              </w:rPr>
              <w:t>.</w:t>
            </w:r>
          </w:p>
        </w:tc>
        <w:tc>
          <w:tcPr>
            <w:tcW w:w="1694" w:type="dxa"/>
            <w:vMerge w:val="restart"/>
            <w:shd w:val="clear" w:color="auto" w:fill="auto"/>
            <w:vAlign w:val="center"/>
            <w:hideMark/>
          </w:tcPr>
          <w:p w14:paraId="2E16BB32" w14:textId="77777777" w:rsidR="00B822CB" w:rsidRPr="00E90B0E" w:rsidRDefault="00B822CB" w:rsidP="00E90B0E">
            <w:pPr>
              <w:spacing w:after="0" w:line="240" w:lineRule="auto"/>
              <w:rPr>
                <w:rFonts w:ascii="Times New Roman" w:eastAsia="Times New Roman" w:hAnsi="Times New Roman"/>
                <w:b/>
                <w:bCs/>
                <w:lang w:eastAsia="lt-LT"/>
              </w:rPr>
            </w:pPr>
            <w:r w:rsidRPr="00E90B0E">
              <w:rPr>
                <w:rFonts w:ascii="Times New Roman" w:eastAsia="Times New Roman" w:hAnsi="Times New Roman"/>
                <w:b/>
                <w:bCs/>
                <w:lang w:eastAsia="lt-LT"/>
              </w:rPr>
              <w:t>Studijos, tyrimai, socialinės apklausos, viešinimo akcijos</w:t>
            </w:r>
          </w:p>
        </w:tc>
        <w:tc>
          <w:tcPr>
            <w:tcW w:w="3105" w:type="dxa"/>
            <w:shd w:val="clear" w:color="auto" w:fill="auto"/>
            <w:hideMark/>
          </w:tcPr>
          <w:p w14:paraId="391849B4" w14:textId="3DAB6A3C"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Atsižvelgiant į studijų, tyrimų, sociologinių apklausų rezultatus atitinkamai pasirenkami efektyviausi viešinimo kanalai ir priemonės planuojant informavimą ir viešinimą apie EJRŽAF.</w:t>
            </w:r>
          </w:p>
        </w:tc>
        <w:tc>
          <w:tcPr>
            <w:tcW w:w="2524" w:type="dxa"/>
            <w:shd w:val="clear" w:color="auto" w:fill="auto"/>
            <w:hideMark/>
          </w:tcPr>
          <w:p w14:paraId="73D03E60"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Komunikacijos būklės analize ir vertinimas per viešosios nuomonės tyrimus, sociologines apklausas, studijas leidžia efektyviai koordinuoti, vykdyti ir kontroliuoti informavimo ir viešinimo veiklą, vertinti informavimo ir viešinimo priemonių efektyvumą, efektyvinti sklaidą pasitelkiant viešinimo akcijas, bei didinti galimybę efektyviau panaudoti paramos lėšas, planingai ir kokybiškai organizuoti informacijos sklaidą.  </w:t>
            </w:r>
          </w:p>
          <w:p w14:paraId="16F5EDBA"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1837" w:type="dxa"/>
            <w:shd w:val="clear" w:color="auto" w:fill="auto"/>
            <w:hideMark/>
          </w:tcPr>
          <w:p w14:paraId="73ADADFE"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Visuomenė, centrinės ir vietos valdžios institucijos, socialiniai ir ekonominiai partneriai, su programos įgyvendinimu susijusių įstaigų, organizacijų specialistai, konsultantai.</w:t>
            </w:r>
          </w:p>
        </w:tc>
        <w:tc>
          <w:tcPr>
            <w:tcW w:w="1586" w:type="dxa"/>
            <w:shd w:val="clear" w:color="auto" w:fill="auto"/>
            <w:hideMark/>
          </w:tcPr>
          <w:p w14:paraId="68F8D6AB" w14:textId="4771542C" w:rsidR="003A6D83" w:rsidRPr="00B83731" w:rsidRDefault="00B83731" w:rsidP="00E90B0E">
            <w:pPr>
              <w:spacing w:after="0" w:line="240" w:lineRule="auto"/>
              <w:jc w:val="center"/>
              <w:rPr>
                <w:rFonts w:ascii="Times New Roman" w:eastAsia="Times New Roman" w:hAnsi="Times New Roman"/>
                <w:bCs/>
                <w:lang w:eastAsia="lt-LT"/>
              </w:rPr>
            </w:pPr>
            <w:r w:rsidRPr="001D453D">
              <w:rPr>
                <w:rFonts w:ascii="Times New Roman" w:eastAsia="Times New Roman" w:hAnsi="Times New Roman"/>
                <w:bCs/>
                <w:lang w:eastAsia="lt-LT"/>
              </w:rPr>
              <w:t>700,00</w:t>
            </w:r>
          </w:p>
        </w:tc>
        <w:tc>
          <w:tcPr>
            <w:tcW w:w="1888" w:type="dxa"/>
            <w:shd w:val="clear" w:color="auto" w:fill="auto"/>
            <w:hideMark/>
          </w:tcPr>
          <w:p w14:paraId="2D503F74"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Apklausų sk. – 1vnt.</w:t>
            </w:r>
          </w:p>
          <w:p w14:paraId="7A9F1D1A" w14:textId="77777777" w:rsidR="00B822CB" w:rsidRPr="00E90B0E" w:rsidRDefault="00B822CB" w:rsidP="00E90B0E">
            <w:pPr>
              <w:spacing w:after="0" w:line="240" w:lineRule="auto"/>
              <w:jc w:val="both"/>
              <w:rPr>
                <w:rFonts w:ascii="Times New Roman" w:eastAsia="Times New Roman" w:hAnsi="Times New Roman"/>
                <w:lang w:eastAsia="lt-LT"/>
              </w:rPr>
            </w:pPr>
          </w:p>
        </w:tc>
        <w:tc>
          <w:tcPr>
            <w:tcW w:w="1817" w:type="dxa"/>
          </w:tcPr>
          <w:p w14:paraId="452C7817" w14:textId="77777777" w:rsidR="00B822CB" w:rsidRPr="00E90B0E" w:rsidRDefault="00B822CB" w:rsidP="00E90B0E">
            <w:pPr>
              <w:spacing w:after="0" w:line="240" w:lineRule="auto"/>
              <w:jc w:val="center"/>
              <w:rPr>
                <w:rFonts w:ascii="Times New Roman" w:eastAsia="Times New Roman" w:hAnsi="Times New Roman"/>
                <w:lang w:eastAsia="lt-LT"/>
              </w:rPr>
            </w:pPr>
            <w:r w:rsidRPr="00E90B0E">
              <w:rPr>
                <w:rFonts w:ascii="Times New Roman" w:eastAsia="Times New Roman" w:hAnsi="Times New Roman"/>
                <w:bCs/>
                <w:lang w:eastAsia="lt-LT"/>
              </w:rPr>
              <w:t>ŽŪM RVBS</w:t>
            </w:r>
          </w:p>
        </w:tc>
      </w:tr>
      <w:tr w:rsidR="00D53CF8" w:rsidRPr="00E90B0E" w14:paraId="22F5C466" w14:textId="77777777" w:rsidTr="00CB2743">
        <w:trPr>
          <w:trHeight w:val="1923"/>
        </w:trPr>
        <w:tc>
          <w:tcPr>
            <w:tcW w:w="561" w:type="dxa"/>
            <w:vMerge/>
            <w:shd w:val="clear" w:color="auto" w:fill="auto"/>
            <w:noWrap/>
            <w:vAlign w:val="center"/>
          </w:tcPr>
          <w:p w14:paraId="05ECF94F" w14:textId="77777777" w:rsidR="00D53CF8" w:rsidRPr="00E90B0E" w:rsidRDefault="00D53CF8" w:rsidP="00E90B0E">
            <w:pPr>
              <w:spacing w:after="0" w:line="240" w:lineRule="auto"/>
              <w:rPr>
                <w:rFonts w:ascii="Times New Roman" w:eastAsia="Times New Roman" w:hAnsi="Times New Roman"/>
                <w:lang w:eastAsia="lt-LT"/>
              </w:rPr>
            </w:pPr>
          </w:p>
        </w:tc>
        <w:tc>
          <w:tcPr>
            <w:tcW w:w="1694" w:type="dxa"/>
            <w:vMerge/>
            <w:shd w:val="clear" w:color="auto" w:fill="auto"/>
            <w:vAlign w:val="center"/>
          </w:tcPr>
          <w:p w14:paraId="6F24F847" w14:textId="77777777" w:rsidR="00D53CF8" w:rsidRPr="00E90B0E" w:rsidRDefault="00D53CF8" w:rsidP="00E90B0E">
            <w:pPr>
              <w:spacing w:after="0" w:line="240" w:lineRule="auto"/>
              <w:rPr>
                <w:rFonts w:ascii="Times New Roman" w:eastAsia="Times New Roman" w:hAnsi="Times New Roman"/>
                <w:b/>
                <w:bCs/>
                <w:lang w:eastAsia="lt-LT"/>
              </w:rPr>
            </w:pPr>
          </w:p>
        </w:tc>
        <w:tc>
          <w:tcPr>
            <w:tcW w:w="3105" w:type="dxa"/>
            <w:shd w:val="clear" w:color="auto" w:fill="auto"/>
          </w:tcPr>
          <w:p w14:paraId="7855BEEA" w14:textId="3838ED1C" w:rsidR="00D53CF8" w:rsidRPr="00E90B0E" w:rsidRDefault="00D53CF8" w:rsidP="00E90B0E">
            <w:pPr>
              <w:spacing w:after="0" w:line="240" w:lineRule="auto"/>
              <w:jc w:val="both"/>
              <w:rPr>
                <w:rFonts w:ascii="Times New Roman" w:eastAsia="Times New Roman" w:hAnsi="Times New Roman"/>
                <w:lang w:eastAsia="lt-LT"/>
              </w:rPr>
            </w:pPr>
            <w:r w:rsidRPr="00E90B0E">
              <w:rPr>
                <w:rFonts w:ascii="Times New Roman" w:hAnsi="Times New Roman"/>
                <w:lang w:eastAsia="lt-LT" w:bidi="lo-LA"/>
              </w:rPr>
              <w:t xml:space="preserve">Pareiškėjų / paramos gavėjų nuomonės tyrimas, siekiant vertinti </w:t>
            </w:r>
            <w:r w:rsidRPr="00E90B0E">
              <w:rPr>
                <w:rFonts w:ascii="Times New Roman" w:eastAsia="Times New Roman" w:hAnsi="Times New Roman"/>
                <w:lang w:eastAsia="lt-LT"/>
              </w:rPr>
              <w:t xml:space="preserve">EJRŽAF </w:t>
            </w:r>
            <w:r w:rsidRPr="00E90B0E">
              <w:rPr>
                <w:rFonts w:ascii="Times New Roman" w:hAnsi="Times New Roman"/>
                <w:lang w:eastAsia="lt-LT" w:bidi="lo-LA"/>
              </w:rPr>
              <w:t xml:space="preserve"> žinomumą/informuotumą.</w:t>
            </w:r>
          </w:p>
        </w:tc>
        <w:tc>
          <w:tcPr>
            <w:tcW w:w="2524" w:type="dxa"/>
            <w:shd w:val="clear" w:color="auto" w:fill="auto"/>
          </w:tcPr>
          <w:p w14:paraId="27F14CA5" w14:textId="73C097A4" w:rsidR="00D53CF8" w:rsidRPr="00E90B0E" w:rsidRDefault="00D53CF8"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Pareiškėjų/paramos gavėjų apklausa, siekiant išsiaiškinti šios tikslinės grupės informuotumą apie EJRŽAF bei jų priemones,  bei efektyviausius viešinimo kanalus. </w:t>
            </w:r>
          </w:p>
        </w:tc>
        <w:tc>
          <w:tcPr>
            <w:tcW w:w="1837" w:type="dxa"/>
            <w:shd w:val="clear" w:color="auto" w:fill="auto"/>
          </w:tcPr>
          <w:p w14:paraId="6F160B23" w14:textId="4718379C" w:rsidR="00D53CF8" w:rsidRPr="00E90B0E" w:rsidRDefault="00D53CF8" w:rsidP="00E90B0E">
            <w:pPr>
              <w:spacing w:after="0" w:line="240" w:lineRule="auto"/>
              <w:rPr>
                <w:rFonts w:ascii="Times New Roman" w:eastAsia="Times New Roman" w:hAnsi="Times New Roman"/>
                <w:lang w:eastAsia="lt-LT"/>
              </w:rPr>
            </w:pPr>
            <w:r w:rsidRPr="00E90B0E">
              <w:rPr>
                <w:rFonts w:ascii="Times New Roman" w:eastAsia="Times New Roman" w:hAnsi="Times New Roman"/>
                <w:lang w:eastAsia="lt-LT"/>
              </w:rPr>
              <w:t>Galimi ir esami pareiškėjai bei paramos gavėjai</w:t>
            </w:r>
          </w:p>
        </w:tc>
        <w:tc>
          <w:tcPr>
            <w:tcW w:w="1586" w:type="dxa"/>
            <w:shd w:val="clear" w:color="auto" w:fill="auto"/>
          </w:tcPr>
          <w:p w14:paraId="071A3058" w14:textId="77777777" w:rsidR="00D53CF8" w:rsidRPr="001D453D" w:rsidRDefault="00D53CF8" w:rsidP="00E90B0E">
            <w:pPr>
              <w:spacing w:after="0" w:line="240" w:lineRule="auto"/>
              <w:jc w:val="center"/>
              <w:rPr>
                <w:rFonts w:ascii="Times New Roman" w:eastAsia="Times New Roman" w:hAnsi="Times New Roman"/>
                <w:bCs/>
                <w:lang w:eastAsia="lt-LT"/>
              </w:rPr>
            </w:pPr>
          </w:p>
          <w:p w14:paraId="4C061739" w14:textId="2FDD5F7E" w:rsidR="00D53CF8" w:rsidRPr="001D453D" w:rsidRDefault="00542205" w:rsidP="00542205">
            <w:pPr>
              <w:jc w:val="center"/>
              <w:rPr>
                <w:rFonts w:ascii="Times New Roman" w:eastAsia="Times New Roman" w:hAnsi="Times New Roman"/>
                <w:lang w:eastAsia="lt-LT"/>
              </w:rPr>
            </w:pPr>
            <w:r w:rsidRPr="001D453D">
              <w:rPr>
                <w:rFonts w:ascii="Times New Roman" w:eastAsia="Times New Roman" w:hAnsi="Times New Roman"/>
                <w:lang w:eastAsia="lt-LT"/>
              </w:rPr>
              <w:t>0</w:t>
            </w:r>
          </w:p>
        </w:tc>
        <w:tc>
          <w:tcPr>
            <w:tcW w:w="1888" w:type="dxa"/>
            <w:shd w:val="clear" w:color="auto" w:fill="auto"/>
          </w:tcPr>
          <w:p w14:paraId="05ACBD47" w14:textId="77777777" w:rsidR="00D53CF8" w:rsidRPr="00E90B0E" w:rsidRDefault="00D53CF8"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Apklausų sk. – 1vnt.</w:t>
            </w:r>
          </w:p>
          <w:p w14:paraId="79E3941C" w14:textId="77777777" w:rsidR="00D53CF8" w:rsidRPr="00E90B0E" w:rsidRDefault="00D53CF8" w:rsidP="00E90B0E">
            <w:pPr>
              <w:spacing w:after="0" w:line="240" w:lineRule="auto"/>
              <w:jc w:val="both"/>
              <w:rPr>
                <w:rFonts w:ascii="Times New Roman" w:eastAsia="Times New Roman" w:hAnsi="Times New Roman"/>
                <w:lang w:eastAsia="lt-LT"/>
              </w:rPr>
            </w:pPr>
          </w:p>
        </w:tc>
        <w:tc>
          <w:tcPr>
            <w:tcW w:w="1817" w:type="dxa"/>
          </w:tcPr>
          <w:p w14:paraId="2AB5FE9E" w14:textId="68C7A72F" w:rsidR="00D53CF8" w:rsidRPr="00E90B0E" w:rsidRDefault="00D53CF8"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NMA</w:t>
            </w:r>
          </w:p>
        </w:tc>
      </w:tr>
      <w:tr w:rsidR="00D53CF8" w:rsidRPr="00E90B0E" w14:paraId="6723CCA2" w14:textId="77777777" w:rsidTr="00434779">
        <w:trPr>
          <w:trHeight w:val="2315"/>
        </w:trPr>
        <w:tc>
          <w:tcPr>
            <w:tcW w:w="561" w:type="dxa"/>
            <w:shd w:val="clear" w:color="auto" w:fill="auto"/>
            <w:noWrap/>
            <w:vAlign w:val="center"/>
          </w:tcPr>
          <w:p w14:paraId="497C3E18" w14:textId="023FA5A3" w:rsidR="00D53CF8" w:rsidRPr="00E90B0E" w:rsidRDefault="00D53CF8" w:rsidP="00E90B0E">
            <w:pPr>
              <w:spacing w:after="0" w:line="240" w:lineRule="auto"/>
              <w:rPr>
                <w:rFonts w:ascii="Times New Roman" w:eastAsia="Times New Roman" w:hAnsi="Times New Roman"/>
                <w:lang w:eastAsia="lt-LT"/>
              </w:rPr>
            </w:pPr>
            <w:r w:rsidRPr="00E90B0E">
              <w:rPr>
                <w:rFonts w:ascii="Times New Roman" w:eastAsia="Times New Roman" w:hAnsi="Times New Roman"/>
                <w:lang w:eastAsia="lt-LT"/>
              </w:rPr>
              <w:t>7</w:t>
            </w:r>
          </w:p>
        </w:tc>
        <w:tc>
          <w:tcPr>
            <w:tcW w:w="1694" w:type="dxa"/>
            <w:shd w:val="clear" w:color="auto" w:fill="auto"/>
            <w:vAlign w:val="center"/>
          </w:tcPr>
          <w:p w14:paraId="3E66EBAC" w14:textId="77777777" w:rsidR="00D53CF8" w:rsidRPr="00E90B0E" w:rsidRDefault="00D53CF8" w:rsidP="00E90B0E">
            <w:pPr>
              <w:spacing w:after="0" w:line="240" w:lineRule="auto"/>
              <w:rPr>
                <w:rFonts w:ascii="Times New Roman" w:eastAsia="Times New Roman" w:hAnsi="Times New Roman"/>
                <w:b/>
                <w:bCs/>
                <w:lang w:eastAsia="lt-LT"/>
              </w:rPr>
            </w:pPr>
            <w:r w:rsidRPr="00E90B0E">
              <w:rPr>
                <w:rFonts w:ascii="Times New Roman" w:hAnsi="Times New Roman"/>
                <w:b/>
                <w:bCs/>
                <w:szCs w:val="24"/>
              </w:rPr>
              <w:t>Internetinės svetainės sukūrimas ir palaikymas</w:t>
            </w:r>
          </w:p>
        </w:tc>
        <w:tc>
          <w:tcPr>
            <w:tcW w:w="3105" w:type="dxa"/>
            <w:shd w:val="clear" w:color="auto" w:fill="auto"/>
          </w:tcPr>
          <w:p w14:paraId="0D6BEDDE" w14:textId="2D53E762" w:rsidR="00D53CF8" w:rsidRPr="00E90B0E" w:rsidRDefault="00D53CF8" w:rsidP="00E90B0E">
            <w:pPr>
              <w:spacing w:after="0" w:line="240" w:lineRule="auto"/>
              <w:rPr>
                <w:rFonts w:ascii="Times New Roman" w:hAnsi="Times New Roman"/>
                <w:szCs w:val="24"/>
                <w:lang w:eastAsia="lt-LT" w:bidi="lo-LA"/>
              </w:rPr>
            </w:pPr>
            <w:r w:rsidRPr="00E90B0E">
              <w:rPr>
                <w:rFonts w:ascii="Times New Roman" w:eastAsia="Times New Roman" w:hAnsi="Times New Roman"/>
                <w:lang w:eastAsia="lt-LT"/>
              </w:rPr>
              <w:t xml:space="preserve">Svetainės </w:t>
            </w:r>
            <w:hyperlink r:id="rId7" w:history="1">
              <w:r w:rsidRPr="00E90B0E">
                <w:rPr>
                  <w:rStyle w:val="Hyperlink"/>
                  <w:rFonts w:ascii="Times New Roman" w:hAnsi="Times New Roman"/>
                  <w:color w:val="auto"/>
                </w:rPr>
                <w:t>www.paramazuvininkystei.lt</w:t>
              </w:r>
            </w:hyperlink>
            <w:r w:rsidRPr="00E90B0E">
              <w:rPr>
                <w:rFonts w:ascii="Times New Roman" w:hAnsi="Times New Roman"/>
              </w:rPr>
              <w:t xml:space="preserve"> administravimas ir tobulinimas</w:t>
            </w:r>
          </w:p>
        </w:tc>
        <w:tc>
          <w:tcPr>
            <w:tcW w:w="2524" w:type="dxa"/>
            <w:shd w:val="clear" w:color="auto" w:fill="auto"/>
          </w:tcPr>
          <w:p w14:paraId="009122F6" w14:textId="692E03C2" w:rsidR="00D53CF8" w:rsidRPr="00E90B0E" w:rsidRDefault="00D53CF8" w:rsidP="00E90B0E">
            <w:pPr>
              <w:spacing w:after="0" w:line="240" w:lineRule="auto"/>
              <w:rPr>
                <w:rFonts w:ascii="Times New Roman" w:eastAsia="Times New Roman" w:hAnsi="Times New Roman"/>
                <w:lang w:eastAsia="lt-LT"/>
              </w:rPr>
            </w:pPr>
            <w:r w:rsidRPr="00E90B0E">
              <w:rPr>
                <w:rFonts w:ascii="Times New Roman" w:hAnsi="Times New Roman"/>
              </w:rPr>
              <w:t xml:space="preserve">Atnaujinti, vystyti ir palaikyti svetainę  </w:t>
            </w:r>
            <w:hyperlink r:id="rId8" w:history="1">
              <w:r w:rsidRPr="00E90B0E">
                <w:rPr>
                  <w:rStyle w:val="Hyperlink"/>
                  <w:rFonts w:ascii="Times New Roman" w:hAnsi="Times New Roman"/>
                  <w:color w:val="auto"/>
                </w:rPr>
                <w:t>www.paramazuvininkystei.lt</w:t>
              </w:r>
            </w:hyperlink>
            <w:r w:rsidRPr="00E90B0E">
              <w:rPr>
                <w:rFonts w:ascii="Times New Roman" w:hAnsi="Times New Roman"/>
              </w:rPr>
              <w:t xml:space="preserve"> kaip vieną iš pagrindinių šaltinių informacijos apie Lietuvos žuvininkystės sektoriaus 2021-2027 m. periodo programą.</w:t>
            </w:r>
          </w:p>
        </w:tc>
        <w:tc>
          <w:tcPr>
            <w:tcW w:w="1837" w:type="dxa"/>
            <w:shd w:val="clear" w:color="auto" w:fill="auto"/>
          </w:tcPr>
          <w:p w14:paraId="5AF6EB84" w14:textId="011F9926" w:rsidR="00D53CF8" w:rsidRPr="00E90B0E" w:rsidRDefault="00D53CF8" w:rsidP="00E90B0E">
            <w:pPr>
              <w:spacing w:after="0" w:line="240" w:lineRule="auto"/>
              <w:rPr>
                <w:rFonts w:ascii="Times New Roman" w:eastAsia="Times New Roman" w:hAnsi="Times New Roman"/>
                <w:lang w:eastAsia="lt-LT"/>
              </w:rPr>
            </w:pPr>
            <w:r w:rsidRPr="00E90B0E">
              <w:rPr>
                <w:rFonts w:ascii="Times New Roman" w:eastAsia="Times New Roman" w:hAnsi="Times New Roman"/>
                <w:lang w:eastAsia="lt-LT"/>
              </w:rPr>
              <w:t>Galimi ir esami pareiškėjai bei paramos gavėjai</w:t>
            </w:r>
          </w:p>
        </w:tc>
        <w:tc>
          <w:tcPr>
            <w:tcW w:w="1586" w:type="dxa"/>
            <w:shd w:val="clear" w:color="auto" w:fill="auto"/>
          </w:tcPr>
          <w:p w14:paraId="4DB610FA" w14:textId="0451C2F8" w:rsidR="00542205" w:rsidRPr="001D453D" w:rsidRDefault="00542205" w:rsidP="00E90B0E">
            <w:pPr>
              <w:spacing w:after="0" w:line="240" w:lineRule="auto"/>
              <w:jc w:val="center"/>
              <w:rPr>
                <w:rFonts w:ascii="Times New Roman" w:eastAsia="Times New Roman" w:hAnsi="Times New Roman"/>
                <w:lang w:eastAsia="lt-LT"/>
              </w:rPr>
            </w:pPr>
            <w:r w:rsidRPr="001D453D">
              <w:rPr>
                <w:rFonts w:ascii="Times New Roman" w:eastAsia="Times New Roman" w:hAnsi="Times New Roman"/>
                <w:lang w:eastAsia="lt-LT"/>
              </w:rPr>
              <w:t>7</w:t>
            </w:r>
            <w:r w:rsidR="00934334" w:rsidRPr="001D453D">
              <w:rPr>
                <w:rFonts w:ascii="Times New Roman" w:eastAsia="Times New Roman" w:hAnsi="Times New Roman"/>
                <w:lang w:eastAsia="lt-LT"/>
              </w:rPr>
              <w:t> 697,74</w:t>
            </w:r>
          </w:p>
        </w:tc>
        <w:tc>
          <w:tcPr>
            <w:tcW w:w="1888" w:type="dxa"/>
            <w:shd w:val="clear" w:color="auto" w:fill="auto"/>
          </w:tcPr>
          <w:p w14:paraId="5CB62CF2" w14:textId="22CFB848" w:rsidR="00D53CF8" w:rsidRPr="00E90B0E" w:rsidRDefault="00D53CF8"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1 svetainė</w:t>
            </w:r>
          </w:p>
        </w:tc>
        <w:tc>
          <w:tcPr>
            <w:tcW w:w="1817" w:type="dxa"/>
          </w:tcPr>
          <w:p w14:paraId="53E72FDB" w14:textId="69A63CF1" w:rsidR="00D53CF8" w:rsidRPr="00E90B0E" w:rsidRDefault="00D53CF8"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NMA</w:t>
            </w:r>
          </w:p>
        </w:tc>
      </w:tr>
      <w:tr w:rsidR="00B822CB" w:rsidRPr="00E90B0E" w14:paraId="1843762E" w14:textId="77777777" w:rsidTr="00434779">
        <w:trPr>
          <w:trHeight w:val="1277"/>
        </w:trPr>
        <w:tc>
          <w:tcPr>
            <w:tcW w:w="561" w:type="dxa"/>
            <w:shd w:val="clear" w:color="auto" w:fill="auto"/>
            <w:noWrap/>
            <w:vAlign w:val="center"/>
          </w:tcPr>
          <w:p w14:paraId="636E4827" w14:textId="2B14FAA3" w:rsidR="00B822CB" w:rsidRPr="00E90B0E" w:rsidRDefault="00953F24" w:rsidP="00E90B0E">
            <w:pPr>
              <w:spacing w:after="0" w:line="240" w:lineRule="auto"/>
              <w:rPr>
                <w:rFonts w:ascii="Times New Roman" w:eastAsia="Times New Roman" w:hAnsi="Times New Roman"/>
                <w:lang w:eastAsia="lt-LT"/>
              </w:rPr>
            </w:pPr>
            <w:r w:rsidRPr="00E90B0E">
              <w:rPr>
                <w:rFonts w:ascii="Times New Roman" w:eastAsia="Times New Roman" w:hAnsi="Times New Roman"/>
                <w:lang w:eastAsia="lt-LT"/>
              </w:rPr>
              <w:t>8</w:t>
            </w:r>
          </w:p>
        </w:tc>
        <w:tc>
          <w:tcPr>
            <w:tcW w:w="1694" w:type="dxa"/>
            <w:shd w:val="clear" w:color="auto" w:fill="auto"/>
            <w:vAlign w:val="center"/>
          </w:tcPr>
          <w:p w14:paraId="18D2F030" w14:textId="77777777" w:rsidR="00B822CB" w:rsidRPr="00E90B0E" w:rsidRDefault="00B822CB" w:rsidP="00E90B0E">
            <w:pPr>
              <w:spacing w:after="0" w:line="240" w:lineRule="auto"/>
              <w:rPr>
                <w:rFonts w:ascii="Times New Roman" w:hAnsi="Times New Roman"/>
                <w:b/>
                <w:bCs/>
                <w:szCs w:val="24"/>
              </w:rPr>
            </w:pPr>
            <w:r w:rsidRPr="00E90B0E">
              <w:rPr>
                <w:rFonts w:ascii="Times New Roman" w:hAnsi="Times New Roman"/>
                <w:b/>
                <w:bCs/>
                <w:szCs w:val="24"/>
              </w:rPr>
              <w:t>Informaciniai stendai</w:t>
            </w:r>
          </w:p>
        </w:tc>
        <w:tc>
          <w:tcPr>
            <w:tcW w:w="3105" w:type="dxa"/>
            <w:shd w:val="clear" w:color="auto" w:fill="auto"/>
          </w:tcPr>
          <w:p w14:paraId="6F552A1E" w14:textId="77777777" w:rsidR="00B822CB" w:rsidRPr="00E90B0E" w:rsidRDefault="00B822CB" w:rsidP="00E90B0E">
            <w:pPr>
              <w:spacing w:after="0" w:line="240" w:lineRule="auto"/>
              <w:rPr>
                <w:rFonts w:ascii="Times New Roman" w:eastAsia="Times New Roman" w:hAnsi="Times New Roman"/>
                <w:color w:val="000000"/>
                <w:lang w:eastAsia="lt-LT"/>
              </w:rPr>
            </w:pPr>
            <w:r w:rsidRPr="00E90B0E">
              <w:rPr>
                <w:rFonts w:ascii="Times New Roman" w:eastAsia="Times New Roman" w:hAnsi="Times New Roman"/>
                <w:lang w:eastAsia="lt-LT"/>
              </w:rPr>
              <w:t xml:space="preserve">Informuoti visuomenę apie ES žuvininkystės politiką ir Lietuvos dalyvavimą joje. </w:t>
            </w:r>
          </w:p>
        </w:tc>
        <w:tc>
          <w:tcPr>
            <w:tcW w:w="2524" w:type="dxa"/>
            <w:shd w:val="clear" w:color="auto" w:fill="auto"/>
          </w:tcPr>
          <w:p w14:paraId="313DA215" w14:textId="63CEA6BC" w:rsidR="00B822CB" w:rsidRPr="00E90B0E" w:rsidRDefault="00B822CB" w:rsidP="00E90B0E">
            <w:pPr>
              <w:spacing w:after="0" w:line="240" w:lineRule="auto"/>
              <w:rPr>
                <w:rFonts w:ascii="Times New Roman" w:hAnsi="Times New Roman"/>
                <w:color w:val="000000"/>
                <w:szCs w:val="24"/>
              </w:rPr>
            </w:pPr>
            <w:r w:rsidRPr="00E90B0E">
              <w:rPr>
                <w:rFonts w:ascii="Times New Roman" w:eastAsia="Times New Roman" w:hAnsi="Times New Roman"/>
                <w:lang w:eastAsia="lt-LT"/>
              </w:rPr>
              <w:t xml:space="preserve">Informacinės sienelės </w:t>
            </w:r>
            <w:r w:rsidR="001453C5" w:rsidRPr="00E90B0E">
              <w:rPr>
                <w:rFonts w:ascii="Times New Roman" w:eastAsia="Times New Roman" w:hAnsi="Times New Roman"/>
                <w:lang w:eastAsia="lt-LT"/>
              </w:rPr>
              <w:t xml:space="preserve">/lipduko </w:t>
            </w:r>
            <w:r w:rsidRPr="00E90B0E">
              <w:rPr>
                <w:rFonts w:ascii="Times New Roman" w:eastAsia="Times New Roman" w:hAnsi="Times New Roman"/>
                <w:lang w:eastAsia="lt-LT"/>
              </w:rPr>
              <w:t>gamyba</w:t>
            </w:r>
          </w:p>
        </w:tc>
        <w:tc>
          <w:tcPr>
            <w:tcW w:w="1837" w:type="dxa"/>
            <w:shd w:val="clear" w:color="auto" w:fill="auto"/>
          </w:tcPr>
          <w:p w14:paraId="247FC9BC" w14:textId="1354E7D6" w:rsidR="00B822CB" w:rsidRPr="00E90B0E" w:rsidRDefault="00434779" w:rsidP="00E90B0E">
            <w:pPr>
              <w:spacing w:after="0" w:line="240" w:lineRule="auto"/>
              <w:rPr>
                <w:rFonts w:ascii="Times New Roman" w:eastAsia="Times New Roman" w:hAnsi="Times New Roman"/>
                <w:color w:val="000000"/>
                <w:lang w:eastAsia="lt-LT"/>
              </w:rPr>
            </w:pPr>
            <w:r w:rsidRPr="00E90B0E">
              <w:rPr>
                <w:rFonts w:ascii="Times New Roman" w:eastAsia="Times New Roman" w:hAnsi="Times New Roman"/>
                <w:lang w:eastAsia="lt-LT"/>
              </w:rPr>
              <w:t>Centrinės ir vietos valdžios institucijos, žiniasklaida, šalies visuomenė.</w:t>
            </w:r>
          </w:p>
        </w:tc>
        <w:tc>
          <w:tcPr>
            <w:tcW w:w="1586" w:type="dxa"/>
            <w:shd w:val="clear" w:color="auto" w:fill="auto"/>
          </w:tcPr>
          <w:p w14:paraId="556AFD6C" w14:textId="18ACA00C" w:rsidR="00B822CB" w:rsidRPr="00E90B0E" w:rsidRDefault="00B822CB"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 xml:space="preserve"> </w:t>
            </w:r>
            <w:r w:rsidR="00400145" w:rsidRPr="00E90B0E">
              <w:rPr>
                <w:rFonts w:ascii="Times New Roman" w:eastAsia="Times New Roman" w:hAnsi="Times New Roman"/>
                <w:bCs/>
                <w:lang w:eastAsia="lt-LT"/>
              </w:rPr>
              <w:t>5</w:t>
            </w:r>
            <w:r w:rsidRPr="00E90B0E">
              <w:rPr>
                <w:rFonts w:ascii="Times New Roman" w:eastAsia="Times New Roman" w:hAnsi="Times New Roman"/>
                <w:bCs/>
                <w:lang w:eastAsia="lt-LT"/>
              </w:rPr>
              <w:t>00,00</w:t>
            </w:r>
          </w:p>
        </w:tc>
        <w:tc>
          <w:tcPr>
            <w:tcW w:w="1888" w:type="dxa"/>
            <w:shd w:val="clear" w:color="auto" w:fill="auto"/>
          </w:tcPr>
          <w:p w14:paraId="0489070F" w14:textId="77777777" w:rsidR="00B822CB" w:rsidRPr="00E90B0E" w:rsidRDefault="00B822CB" w:rsidP="00E90B0E">
            <w:pPr>
              <w:spacing w:after="0" w:line="240" w:lineRule="auto"/>
              <w:jc w:val="both"/>
              <w:rPr>
                <w:rFonts w:ascii="Times New Roman" w:eastAsia="Times New Roman" w:hAnsi="Times New Roman"/>
                <w:lang w:eastAsia="lt-LT"/>
              </w:rPr>
            </w:pPr>
            <w:r w:rsidRPr="00E90B0E">
              <w:rPr>
                <w:rFonts w:ascii="Times New Roman" w:eastAsia="Times New Roman" w:hAnsi="Times New Roman"/>
                <w:lang w:eastAsia="lt-LT"/>
              </w:rPr>
              <w:t xml:space="preserve">1 vnt. </w:t>
            </w:r>
          </w:p>
        </w:tc>
        <w:tc>
          <w:tcPr>
            <w:tcW w:w="1817" w:type="dxa"/>
          </w:tcPr>
          <w:p w14:paraId="17E0705E" w14:textId="77777777" w:rsidR="00B822CB" w:rsidRPr="00E90B0E" w:rsidRDefault="00B822CB" w:rsidP="00E90B0E">
            <w:pPr>
              <w:spacing w:after="0" w:line="240" w:lineRule="auto"/>
              <w:jc w:val="center"/>
              <w:rPr>
                <w:rFonts w:ascii="Times New Roman" w:eastAsia="Times New Roman" w:hAnsi="Times New Roman"/>
                <w:bCs/>
                <w:lang w:eastAsia="lt-LT"/>
              </w:rPr>
            </w:pPr>
            <w:r w:rsidRPr="00E90B0E">
              <w:rPr>
                <w:rFonts w:ascii="Times New Roman" w:eastAsia="Times New Roman" w:hAnsi="Times New Roman"/>
                <w:bCs/>
                <w:lang w:eastAsia="lt-LT"/>
              </w:rPr>
              <w:t>ŽŪM RVBS</w:t>
            </w:r>
          </w:p>
        </w:tc>
      </w:tr>
    </w:tbl>
    <w:p w14:paraId="21DF25FF" w14:textId="77777777" w:rsidR="00CB2743" w:rsidRPr="00E90B0E" w:rsidRDefault="00CB2743" w:rsidP="00E90B0E">
      <w:pPr>
        <w:widowControl w:val="0"/>
        <w:autoSpaceDE w:val="0"/>
        <w:autoSpaceDN w:val="0"/>
        <w:adjustRightInd w:val="0"/>
        <w:spacing w:after="0" w:line="276" w:lineRule="auto"/>
        <w:rPr>
          <w:rFonts w:ascii="Times New Roman" w:hAnsi="Times New Roman"/>
        </w:rPr>
      </w:pPr>
    </w:p>
    <w:p w14:paraId="7DAE8F3F" w14:textId="7C4351F0" w:rsidR="00DD223A" w:rsidRPr="00E90B0E" w:rsidRDefault="00DD223A" w:rsidP="00E90B0E">
      <w:pPr>
        <w:widowControl w:val="0"/>
        <w:autoSpaceDE w:val="0"/>
        <w:autoSpaceDN w:val="0"/>
        <w:adjustRightInd w:val="0"/>
        <w:spacing w:after="0" w:line="276" w:lineRule="auto"/>
        <w:rPr>
          <w:rFonts w:ascii="Times New Roman" w:hAnsi="Times New Roman"/>
        </w:rPr>
      </w:pPr>
      <w:r w:rsidRPr="00E90B0E">
        <w:rPr>
          <w:rFonts w:ascii="Times New Roman" w:hAnsi="Times New Roman"/>
        </w:rPr>
        <w:t>* EJRŽAF – Europos jūrų reikalų, žvejybos ir akvakultūros fondas</w:t>
      </w:r>
    </w:p>
    <w:p w14:paraId="2CBA593A" w14:textId="77777777" w:rsidR="001A3EDE" w:rsidRPr="002551E8" w:rsidRDefault="007C2A41" w:rsidP="00E90B0E">
      <w:pPr>
        <w:spacing w:after="0"/>
        <w:jc w:val="center"/>
        <w:rPr>
          <w:b/>
        </w:rPr>
      </w:pPr>
      <w:r w:rsidRPr="00E90B0E">
        <w:rPr>
          <w:b/>
        </w:rPr>
        <w:t>_______________________________________</w:t>
      </w:r>
    </w:p>
    <w:sectPr w:rsidR="001A3EDE" w:rsidRPr="002551E8" w:rsidSect="00994D8E">
      <w:pgSz w:w="16838" w:h="11906" w:orient="landscape"/>
      <w:pgMar w:top="28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4659"/>
    <w:multiLevelType w:val="hybridMultilevel"/>
    <w:tmpl w:val="2CCE45FC"/>
    <w:lvl w:ilvl="0" w:tplc="22125604">
      <w:start w:val="20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5DC5218"/>
    <w:multiLevelType w:val="hybridMultilevel"/>
    <w:tmpl w:val="4150021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BB7DD3"/>
    <w:multiLevelType w:val="hybridMultilevel"/>
    <w:tmpl w:val="4A0031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70077079">
    <w:abstractNumId w:val="2"/>
  </w:num>
  <w:num w:numId="2" w16cid:durableId="1428648372">
    <w:abstractNumId w:val="0"/>
  </w:num>
  <w:num w:numId="3" w16cid:durableId="119179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3C"/>
    <w:rsid w:val="000057E8"/>
    <w:rsid w:val="000167C3"/>
    <w:rsid w:val="00020D72"/>
    <w:rsid w:val="000258F0"/>
    <w:rsid w:val="000312E1"/>
    <w:rsid w:val="00033773"/>
    <w:rsid w:val="000374CE"/>
    <w:rsid w:val="00040E8E"/>
    <w:rsid w:val="000437FC"/>
    <w:rsid w:val="000471EC"/>
    <w:rsid w:val="00063776"/>
    <w:rsid w:val="00071514"/>
    <w:rsid w:val="000915BF"/>
    <w:rsid w:val="00096776"/>
    <w:rsid w:val="000A051B"/>
    <w:rsid w:val="000B0378"/>
    <w:rsid w:val="000C19D5"/>
    <w:rsid w:val="000C4AEF"/>
    <w:rsid w:val="000C4DDD"/>
    <w:rsid w:val="000E6CC6"/>
    <w:rsid w:val="000E7300"/>
    <w:rsid w:val="00112D33"/>
    <w:rsid w:val="0011525A"/>
    <w:rsid w:val="001357B5"/>
    <w:rsid w:val="00135BB5"/>
    <w:rsid w:val="001453C5"/>
    <w:rsid w:val="00147A6E"/>
    <w:rsid w:val="001514E7"/>
    <w:rsid w:val="00172433"/>
    <w:rsid w:val="001879CA"/>
    <w:rsid w:val="001A3EDE"/>
    <w:rsid w:val="001B012C"/>
    <w:rsid w:val="001B2F9F"/>
    <w:rsid w:val="001B5797"/>
    <w:rsid w:val="001C5978"/>
    <w:rsid w:val="001D453D"/>
    <w:rsid w:val="001D4B50"/>
    <w:rsid w:val="001E02BE"/>
    <w:rsid w:val="001E0D22"/>
    <w:rsid w:val="001E71CA"/>
    <w:rsid w:val="00207642"/>
    <w:rsid w:val="00223813"/>
    <w:rsid w:val="002249C1"/>
    <w:rsid w:val="002271F2"/>
    <w:rsid w:val="00237399"/>
    <w:rsid w:val="00247AEF"/>
    <w:rsid w:val="00252944"/>
    <w:rsid w:val="002551E8"/>
    <w:rsid w:val="00266EC2"/>
    <w:rsid w:val="00276C45"/>
    <w:rsid w:val="00296131"/>
    <w:rsid w:val="002A2747"/>
    <w:rsid w:val="002A7AA5"/>
    <w:rsid w:val="002B196E"/>
    <w:rsid w:val="002B6503"/>
    <w:rsid w:val="002C3B6E"/>
    <w:rsid w:val="002C6BB9"/>
    <w:rsid w:val="002D0527"/>
    <w:rsid w:val="002D36FC"/>
    <w:rsid w:val="002D3BAE"/>
    <w:rsid w:val="002D7C15"/>
    <w:rsid w:val="002F76BB"/>
    <w:rsid w:val="003009B0"/>
    <w:rsid w:val="00300BD8"/>
    <w:rsid w:val="00302A01"/>
    <w:rsid w:val="00317487"/>
    <w:rsid w:val="003226D2"/>
    <w:rsid w:val="00346885"/>
    <w:rsid w:val="00354770"/>
    <w:rsid w:val="003634D9"/>
    <w:rsid w:val="00365703"/>
    <w:rsid w:val="00366B6E"/>
    <w:rsid w:val="00370D44"/>
    <w:rsid w:val="003731E7"/>
    <w:rsid w:val="00375A39"/>
    <w:rsid w:val="00377615"/>
    <w:rsid w:val="00382E30"/>
    <w:rsid w:val="00383EDF"/>
    <w:rsid w:val="003A1D01"/>
    <w:rsid w:val="003A2DE2"/>
    <w:rsid w:val="003A52A0"/>
    <w:rsid w:val="003A6D83"/>
    <w:rsid w:val="003A7773"/>
    <w:rsid w:val="003B528E"/>
    <w:rsid w:val="003D3954"/>
    <w:rsid w:val="003D4EF2"/>
    <w:rsid w:val="003F024C"/>
    <w:rsid w:val="003F642F"/>
    <w:rsid w:val="00400145"/>
    <w:rsid w:val="00402572"/>
    <w:rsid w:val="004027EF"/>
    <w:rsid w:val="0042020A"/>
    <w:rsid w:val="00434779"/>
    <w:rsid w:val="00445F9D"/>
    <w:rsid w:val="00447FE0"/>
    <w:rsid w:val="00463B41"/>
    <w:rsid w:val="0046419D"/>
    <w:rsid w:val="00475775"/>
    <w:rsid w:val="00475AA3"/>
    <w:rsid w:val="00481DE5"/>
    <w:rsid w:val="004A1393"/>
    <w:rsid w:val="004B4E2C"/>
    <w:rsid w:val="004E118E"/>
    <w:rsid w:val="004E65B1"/>
    <w:rsid w:val="004E6D26"/>
    <w:rsid w:val="004F4291"/>
    <w:rsid w:val="0050368B"/>
    <w:rsid w:val="00504070"/>
    <w:rsid w:val="00511CE2"/>
    <w:rsid w:val="005272DB"/>
    <w:rsid w:val="00534DA7"/>
    <w:rsid w:val="00541183"/>
    <w:rsid w:val="00541AB8"/>
    <w:rsid w:val="00542205"/>
    <w:rsid w:val="00543F3C"/>
    <w:rsid w:val="00552F07"/>
    <w:rsid w:val="00570D12"/>
    <w:rsid w:val="0057632D"/>
    <w:rsid w:val="00586B36"/>
    <w:rsid w:val="00590190"/>
    <w:rsid w:val="005A1EE6"/>
    <w:rsid w:val="005A4862"/>
    <w:rsid w:val="005B491A"/>
    <w:rsid w:val="005B66F8"/>
    <w:rsid w:val="005C21FA"/>
    <w:rsid w:val="005C6770"/>
    <w:rsid w:val="005C7CED"/>
    <w:rsid w:val="005D3239"/>
    <w:rsid w:val="005D6F9B"/>
    <w:rsid w:val="005E39E7"/>
    <w:rsid w:val="005E7E88"/>
    <w:rsid w:val="005F5968"/>
    <w:rsid w:val="005F6295"/>
    <w:rsid w:val="00601DD6"/>
    <w:rsid w:val="006025AF"/>
    <w:rsid w:val="00611BFC"/>
    <w:rsid w:val="006142A2"/>
    <w:rsid w:val="00616E64"/>
    <w:rsid w:val="00620D95"/>
    <w:rsid w:val="0062378E"/>
    <w:rsid w:val="006243C7"/>
    <w:rsid w:val="00642A80"/>
    <w:rsid w:val="00660479"/>
    <w:rsid w:val="006660C3"/>
    <w:rsid w:val="00673645"/>
    <w:rsid w:val="00676677"/>
    <w:rsid w:val="00690B04"/>
    <w:rsid w:val="006B6C6B"/>
    <w:rsid w:val="006C124C"/>
    <w:rsid w:val="006C1571"/>
    <w:rsid w:val="006C2134"/>
    <w:rsid w:val="006C2BFF"/>
    <w:rsid w:val="006C74F2"/>
    <w:rsid w:val="006F3FEC"/>
    <w:rsid w:val="006F6AF1"/>
    <w:rsid w:val="007150C8"/>
    <w:rsid w:val="00725A45"/>
    <w:rsid w:val="00732CC9"/>
    <w:rsid w:val="00743288"/>
    <w:rsid w:val="00750F18"/>
    <w:rsid w:val="00775546"/>
    <w:rsid w:val="00776C37"/>
    <w:rsid w:val="0078369F"/>
    <w:rsid w:val="00785096"/>
    <w:rsid w:val="007928D3"/>
    <w:rsid w:val="00796ED7"/>
    <w:rsid w:val="00797318"/>
    <w:rsid w:val="007A1257"/>
    <w:rsid w:val="007C2A41"/>
    <w:rsid w:val="007C6C0E"/>
    <w:rsid w:val="007D189A"/>
    <w:rsid w:val="007E15EB"/>
    <w:rsid w:val="007E5F00"/>
    <w:rsid w:val="007F1698"/>
    <w:rsid w:val="007F6752"/>
    <w:rsid w:val="008104F2"/>
    <w:rsid w:val="00831DAC"/>
    <w:rsid w:val="00834D0C"/>
    <w:rsid w:val="00846085"/>
    <w:rsid w:val="00846367"/>
    <w:rsid w:val="00855F6F"/>
    <w:rsid w:val="008603AC"/>
    <w:rsid w:val="00861D6D"/>
    <w:rsid w:val="00862624"/>
    <w:rsid w:val="00864359"/>
    <w:rsid w:val="00867096"/>
    <w:rsid w:val="008701D7"/>
    <w:rsid w:val="00871C11"/>
    <w:rsid w:val="0087615D"/>
    <w:rsid w:val="00881D47"/>
    <w:rsid w:val="008839D0"/>
    <w:rsid w:val="0088651F"/>
    <w:rsid w:val="00891FA8"/>
    <w:rsid w:val="008A1946"/>
    <w:rsid w:val="008C4FF5"/>
    <w:rsid w:val="008C585C"/>
    <w:rsid w:val="008E23D9"/>
    <w:rsid w:val="008E4B92"/>
    <w:rsid w:val="008E6C81"/>
    <w:rsid w:val="008F7E93"/>
    <w:rsid w:val="00906018"/>
    <w:rsid w:val="00907899"/>
    <w:rsid w:val="009212D8"/>
    <w:rsid w:val="009240DD"/>
    <w:rsid w:val="00934334"/>
    <w:rsid w:val="00940168"/>
    <w:rsid w:val="0094232C"/>
    <w:rsid w:val="00942E32"/>
    <w:rsid w:val="00947399"/>
    <w:rsid w:val="00953F24"/>
    <w:rsid w:val="009549DD"/>
    <w:rsid w:val="00960FCC"/>
    <w:rsid w:val="009704F4"/>
    <w:rsid w:val="00994D8E"/>
    <w:rsid w:val="009962D8"/>
    <w:rsid w:val="009B642A"/>
    <w:rsid w:val="009D25F4"/>
    <w:rsid w:val="009D3B32"/>
    <w:rsid w:val="009D44F3"/>
    <w:rsid w:val="009D7582"/>
    <w:rsid w:val="009E2F9B"/>
    <w:rsid w:val="009F4F72"/>
    <w:rsid w:val="00A01017"/>
    <w:rsid w:val="00A12EB0"/>
    <w:rsid w:val="00A31B20"/>
    <w:rsid w:val="00A4088B"/>
    <w:rsid w:val="00A42402"/>
    <w:rsid w:val="00A53270"/>
    <w:rsid w:val="00A80FF2"/>
    <w:rsid w:val="00AA1D38"/>
    <w:rsid w:val="00AA74A7"/>
    <w:rsid w:val="00AB0464"/>
    <w:rsid w:val="00AB0C7D"/>
    <w:rsid w:val="00AB2FDA"/>
    <w:rsid w:val="00AB3AB8"/>
    <w:rsid w:val="00AC26D5"/>
    <w:rsid w:val="00AC6EAD"/>
    <w:rsid w:val="00AD42EA"/>
    <w:rsid w:val="00AD478D"/>
    <w:rsid w:val="00AD691C"/>
    <w:rsid w:val="00AD73E9"/>
    <w:rsid w:val="00AE05EA"/>
    <w:rsid w:val="00AE2FD0"/>
    <w:rsid w:val="00AE7786"/>
    <w:rsid w:val="00B0032E"/>
    <w:rsid w:val="00B068E3"/>
    <w:rsid w:val="00B22D4A"/>
    <w:rsid w:val="00B3082A"/>
    <w:rsid w:val="00B3517F"/>
    <w:rsid w:val="00B41C3C"/>
    <w:rsid w:val="00B51A60"/>
    <w:rsid w:val="00B63ADB"/>
    <w:rsid w:val="00B65938"/>
    <w:rsid w:val="00B80635"/>
    <w:rsid w:val="00B81C3E"/>
    <w:rsid w:val="00B822CB"/>
    <w:rsid w:val="00B83731"/>
    <w:rsid w:val="00B9518C"/>
    <w:rsid w:val="00BA5245"/>
    <w:rsid w:val="00BC1810"/>
    <w:rsid w:val="00BC59CA"/>
    <w:rsid w:val="00BC5AB3"/>
    <w:rsid w:val="00BC5DC9"/>
    <w:rsid w:val="00BC66AF"/>
    <w:rsid w:val="00BE2B27"/>
    <w:rsid w:val="00BF1695"/>
    <w:rsid w:val="00C05072"/>
    <w:rsid w:val="00C05B3D"/>
    <w:rsid w:val="00C06921"/>
    <w:rsid w:val="00C13A0E"/>
    <w:rsid w:val="00C17E4B"/>
    <w:rsid w:val="00C219C9"/>
    <w:rsid w:val="00C21B70"/>
    <w:rsid w:val="00C2203A"/>
    <w:rsid w:val="00C22551"/>
    <w:rsid w:val="00C24530"/>
    <w:rsid w:val="00C24EDD"/>
    <w:rsid w:val="00C33138"/>
    <w:rsid w:val="00C70AC1"/>
    <w:rsid w:val="00C80039"/>
    <w:rsid w:val="00CA12D9"/>
    <w:rsid w:val="00CA3F4C"/>
    <w:rsid w:val="00CA4C1B"/>
    <w:rsid w:val="00CB1A1D"/>
    <w:rsid w:val="00CB2743"/>
    <w:rsid w:val="00CB434E"/>
    <w:rsid w:val="00CD31F4"/>
    <w:rsid w:val="00CD435C"/>
    <w:rsid w:val="00CD5386"/>
    <w:rsid w:val="00D00E34"/>
    <w:rsid w:val="00D025DE"/>
    <w:rsid w:val="00D114C0"/>
    <w:rsid w:val="00D14945"/>
    <w:rsid w:val="00D17B87"/>
    <w:rsid w:val="00D4353E"/>
    <w:rsid w:val="00D44FE5"/>
    <w:rsid w:val="00D53CF8"/>
    <w:rsid w:val="00D61FEB"/>
    <w:rsid w:val="00D77C3E"/>
    <w:rsid w:val="00D81203"/>
    <w:rsid w:val="00D901AE"/>
    <w:rsid w:val="00D973BD"/>
    <w:rsid w:val="00DA0D28"/>
    <w:rsid w:val="00DA2274"/>
    <w:rsid w:val="00DC28BE"/>
    <w:rsid w:val="00DC5041"/>
    <w:rsid w:val="00DC523A"/>
    <w:rsid w:val="00DD223A"/>
    <w:rsid w:val="00DF3C6C"/>
    <w:rsid w:val="00DF51B8"/>
    <w:rsid w:val="00E002D9"/>
    <w:rsid w:val="00E017CB"/>
    <w:rsid w:val="00E05679"/>
    <w:rsid w:val="00E1253B"/>
    <w:rsid w:val="00E13515"/>
    <w:rsid w:val="00E165B3"/>
    <w:rsid w:val="00E23821"/>
    <w:rsid w:val="00E31202"/>
    <w:rsid w:val="00E37AFB"/>
    <w:rsid w:val="00E46E1F"/>
    <w:rsid w:val="00E55AA8"/>
    <w:rsid w:val="00E55E02"/>
    <w:rsid w:val="00E76E61"/>
    <w:rsid w:val="00E82F34"/>
    <w:rsid w:val="00E90B0E"/>
    <w:rsid w:val="00E930D6"/>
    <w:rsid w:val="00E970A4"/>
    <w:rsid w:val="00EA6E0B"/>
    <w:rsid w:val="00EB040D"/>
    <w:rsid w:val="00EB4798"/>
    <w:rsid w:val="00EB6BD4"/>
    <w:rsid w:val="00ED2E85"/>
    <w:rsid w:val="00EE61F7"/>
    <w:rsid w:val="00F02B94"/>
    <w:rsid w:val="00F2310C"/>
    <w:rsid w:val="00F279F3"/>
    <w:rsid w:val="00F322DC"/>
    <w:rsid w:val="00F6243E"/>
    <w:rsid w:val="00F6613B"/>
    <w:rsid w:val="00F715AB"/>
    <w:rsid w:val="00F74206"/>
    <w:rsid w:val="00F86DC2"/>
    <w:rsid w:val="00F972F5"/>
    <w:rsid w:val="00FA2345"/>
    <w:rsid w:val="00FC3E80"/>
    <w:rsid w:val="00FC6B33"/>
    <w:rsid w:val="00FC72A5"/>
    <w:rsid w:val="00FD6AD0"/>
    <w:rsid w:val="00FE0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E387"/>
  <w15:chartTrackingRefBased/>
  <w15:docId w15:val="{0097BE34-F239-4462-AEC5-E74BC78C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43F3C"/>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ListParagraph">
    <w:name w:val="List Paragraph"/>
    <w:basedOn w:val="Normal"/>
    <w:uiPriority w:val="34"/>
    <w:qFormat/>
    <w:rsid w:val="007A1257"/>
    <w:pPr>
      <w:spacing w:after="0" w:line="240" w:lineRule="auto"/>
      <w:ind w:left="720"/>
    </w:pPr>
  </w:style>
  <w:style w:type="character" w:styleId="Hyperlink">
    <w:name w:val="Hyperlink"/>
    <w:uiPriority w:val="99"/>
    <w:unhideWhenUsed/>
    <w:rsid w:val="000471EC"/>
    <w:rPr>
      <w:color w:val="0563C1"/>
      <w:u w:val="single"/>
    </w:rPr>
  </w:style>
  <w:style w:type="character" w:styleId="CommentReference">
    <w:name w:val="annotation reference"/>
    <w:uiPriority w:val="99"/>
    <w:semiHidden/>
    <w:unhideWhenUsed/>
    <w:rsid w:val="00960FCC"/>
    <w:rPr>
      <w:sz w:val="16"/>
      <w:szCs w:val="16"/>
    </w:rPr>
  </w:style>
  <w:style w:type="paragraph" w:styleId="CommentText">
    <w:name w:val="annotation text"/>
    <w:basedOn w:val="Normal"/>
    <w:link w:val="CommentTextChar"/>
    <w:uiPriority w:val="99"/>
    <w:unhideWhenUsed/>
    <w:rsid w:val="00960FCC"/>
    <w:pPr>
      <w:spacing w:line="240" w:lineRule="auto"/>
    </w:pPr>
    <w:rPr>
      <w:sz w:val="20"/>
      <w:szCs w:val="20"/>
    </w:rPr>
  </w:style>
  <w:style w:type="character" w:customStyle="1" w:styleId="CommentTextChar">
    <w:name w:val="Comment Text Char"/>
    <w:link w:val="CommentText"/>
    <w:uiPriority w:val="99"/>
    <w:rsid w:val="00960FCC"/>
    <w:rPr>
      <w:sz w:val="20"/>
      <w:szCs w:val="20"/>
    </w:rPr>
  </w:style>
  <w:style w:type="paragraph" w:styleId="CommentSubject">
    <w:name w:val="annotation subject"/>
    <w:basedOn w:val="CommentText"/>
    <w:next w:val="CommentText"/>
    <w:link w:val="CommentSubjectChar"/>
    <w:uiPriority w:val="99"/>
    <w:semiHidden/>
    <w:unhideWhenUsed/>
    <w:rsid w:val="00960FCC"/>
    <w:rPr>
      <w:b/>
      <w:bCs/>
    </w:rPr>
  </w:style>
  <w:style w:type="character" w:customStyle="1" w:styleId="CommentSubjectChar">
    <w:name w:val="Comment Subject Char"/>
    <w:link w:val="CommentSubject"/>
    <w:uiPriority w:val="99"/>
    <w:semiHidden/>
    <w:rsid w:val="00960FCC"/>
    <w:rPr>
      <w:b/>
      <w:bCs/>
      <w:sz w:val="20"/>
      <w:szCs w:val="20"/>
    </w:rPr>
  </w:style>
  <w:style w:type="paragraph" w:styleId="BalloonText">
    <w:name w:val="Balloon Text"/>
    <w:basedOn w:val="Normal"/>
    <w:link w:val="BalloonTextChar"/>
    <w:uiPriority w:val="99"/>
    <w:semiHidden/>
    <w:unhideWhenUsed/>
    <w:rsid w:val="00960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0FCC"/>
    <w:rPr>
      <w:rFonts w:ascii="Segoe UI" w:hAnsi="Segoe UI" w:cs="Segoe UI"/>
      <w:sz w:val="18"/>
      <w:szCs w:val="18"/>
    </w:rPr>
  </w:style>
  <w:style w:type="paragraph" w:styleId="Revision">
    <w:name w:val="Revision"/>
    <w:hidden/>
    <w:uiPriority w:val="99"/>
    <w:semiHidden/>
    <w:rsid w:val="008E4B92"/>
    <w:rPr>
      <w:sz w:val="22"/>
      <w:szCs w:val="22"/>
      <w:lang w:eastAsia="en-US"/>
    </w:rPr>
  </w:style>
  <w:style w:type="character" w:styleId="UnresolvedMention">
    <w:name w:val="Unresolved Mention"/>
    <w:basedOn w:val="DefaultParagraphFont"/>
    <w:uiPriority w:val="99"/>
    <w:semiHidden/>
    <w:unhideWhenUsed/>
    <w:rsid w:val="0020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1429">
      <w:bodyDiv w:val="1"/>
      <w:marLeft w:val="0"/>
      <w:marRight w:val="0"/>
      <w:marTop w:val="0"/>
      <w:marBottom w:val="0"/>
      <w:divBdr>
        <w:top w:val="none" w:sz="0" w:space="0" w:color="auto"/>
        <w:left w:val="none" w:sz="0" w:space="0" w:color="auto"/>
        <w:bottom w:val="none" w:sz="0" w:space="0" w:color="auto"/>
        <w:right w:val="none" w:sz="0" w:space="0" w:color="auto"/>
      </w:divBdr>
    </w:div>
    <w:div w:id="1144736846">
      <w:bodyDiv w:val="1"/>
      <w:marLeft w:val="0"/>
      <w:marRight w:val="0"/>
      <w:marTop w:val="0"/>
      <w:marBottom w:val="0"/>
      <w:divBdr>
        <w:top w:val="none" w:sz="0" w:space="0" w:color="auto"/>
        <w:left w:val="none" w:sz="0" w:space="0" w:color="auto"/>
        <w:bottom w:val="none" w:sz="0" w:space="0" w:color="auto"/>
        <w:right w:val="none" w:sz="0" w:space="0" w:color="auto"/>
      </w:divBdr>
    </w:div>
    <w:div w:id="1199734713">
      <w:bodyDiv w:val="1"/>
      <w:marLeft w:val="0"/>
      <w:marRight w:val="0"/>
      <w:marTop w:val="0"/>
      <w:marBottom w:val="0"/>
      <w:divBdr>
        <w:top w:val="none" w:sz="0" w:space="0" w:color="auto"/>
        <w:left w:val="none" w:sz="0" w:space="0" w:color="auto"/>
        <w:bottom w:val="none" w:sz="0" w:space="0" w:color="auto"/>
        <w:right w:val="none" w:sz="0" w:space="0" w:color="auto"/>
      </w:divBdr>
    </w:div>
    <w:div w:id="1331719625">
      <w:bodyDiv w:val="1"/>
      <w:marLeft w:val="0"/>
      <w:marRight w:val="0"/>
      <w:marTop w:val="0"/>
      <w:marBottom w:val="0"/>
      <w:divBdr>
        <w:top w:val="none" w:sz="0" w:space="0" w:color="auto"/>
        <w:left w:val="none" w:sz="0" w:space="0" w:color="auto"/>
        <w:bottom w:val="none" w:sz="0" w:space="0" w:color="auto"/>
        <w:right w:val="none" w:sz="0" w:space="0" w:color="auto"/>
      </w:divBdr>
    </w:div>
    <w:div w:id="1440563802">
      <w:bodyDiv w:val="1"/>
      <w:marLeft w:val="0"/>
      <w:marRight w:val="0"/>
      <w:marTop w:val="0"/>
      <w:marBottom w:val="0"/>
      <w:divBdr>
        <w:top w:val="none" w:sz="0" w:space="0" w:color="auto"/>
        <w:left w:val="none" w:sz="0" w:space="0" w:color="auto"/>
        <w:bottom w:val="none" w:sz="0" w:space="0" w:color="auto"/>
        <w:right w:val="none" w:sz="0" w:space="0" w:color="auto"/>
      </w:divBdr>
    </w:div>
    <w:div w:id="1525292116">
      <w:bodyDiv w:val="1"/>
      <w:marLeft w:val="0"/>
      <w:marRight w:val="0"/>
      <w:marTop w:val="0"/>
      <w:marBottom w:val="0"/>
      <w:divBdr>
        <w:top w:val="none" w:sz="0" w:space="0" w:color="auto"/>
        <w:left w:val="none" w:sz="0" w:space="0" w:color="auto"/>
        <w:bottom w:val="none" w:sz="0" w:space="0" w:color="auto"/>
        <w:right w:val="none" w:sz="0" w:space="0" w:color="auto"/>
      </w:divBdr>
    </w:div>
    <w:div w:id="1563980877">
      <w:bodyDiv w:val="1"/>
      <w:marLeft w:val="0"/>
      <w:marRight w:val="0"/>
      <w:marTop w:val="0"/>
      <w:marBottom w:val="0"/>
      <w:divBdr>
        <w:top w:val="none" w:sz="0" w:space="0" w:color="auto"/>
        <w:left w:val="none" w:sz="0" w:space="0" w:color="auto"/>
        <w:bottom w:val="none" w:sz="0" w:space="0" w:color="auto"/>
        <w:right w:val="none" w:sz="0" w:space="0" w:color="auto"/>
      </w:divBdr>
    </w:div>
    <w:div w:id="1598900637">
      <w:bodyDiv w:val="1"/>
      <w:marLeft w:val="0"/>
      <w:marRight w:val="0"/>
      <w:marTop w:val="0"/>
      <w:marBottom w:val="0"/>
      <w:divBdr>
        <w:top w:val="none" w:sz="0" w:space="0" w:color="auto"/>
        <w:left w:val="none" w:sz="0" w:space="0" w:color="auto"/>
        <w:bottom w:val="none" w:sz="0" w:space="0" w:color="auto"/>
        <w:right w:val="none" w:sz="0" w:space="0" w:color="auto"/>
      </w:divBdr>
    </w:div>
    <w:div w:id="1792286687">
      <w:bodyDiv w:val="1"/>
      <w:marLeft w:val="0"/>
      <w:marRight w:val="0"/>
      <w:marTop w:val="0"/>
      <w:marBottom w:val="0"/>
      <w:divBdr>
        <w:top w:val="none" w:sz="0" w:space="0" w:color="auto"/>
        <w:left w:val="none" w:sz="0" w:space="0" w:color="auto"/>
        <w:bottom w:val="none" w:sz="0" w:space="0" w:color="auto"/>
        <w:right w:val="none" w:sz="0" w:space="0" w:color="auto"/>
      </w:divBdr>
    </w:div>
    <w:div w:id="18716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3" Type="http://schemas.openxmlformats.org/officeDocument/2006/relationships/styles" Target="styles.xml"/><Relationship Id="rId7" Type="http://schemas.openxmlformats.org/officeDocument/2006/relationships/hyperlink" Target="http://www.paramazuvininkyste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559E-1EE4-4E0A-AAF5-338DA402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4985</Words>
  <Characters>2842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Varneckytė</dc:creator>
  <cp:keywords/>
  <cp:lastModifiedBy>Berta Šinkūnaitė</cp:lastModifiedBy>
  <cp:revision>3</cp:revision>
  <cp:lastPrinted>2021-12-07T12:14:00Z</cp:lastPrinted>
  <dcterms:created xsi:type="dcterms:W3CDTF">2025-07-08T11:13:00Z</dcterms:created>
  <dcterms:modified xsi:type="dcterms:W3CDTF">2025-07-09T12:45:00Z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2d28fdd81ea733ef4b41b60922427f9bfefed17af681ea1c542585e51f04f95c</vt:lpwstr>
  </property>
</Properties>
</file>