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24D" w:rsidRPr="00F87AD8" w:rsidRDefault="0091524D" w:rsidP="0091524D">
      <w:pPr>
        <w:spacing w:after="0" w:line="240" w:lineRule="auto"/>
        <w:jc w:val="center"/>
        <w:rPr>
          <w:rFonts w:cs="Times New Roman"/>
          <w:b/>
          <w:szCs w:val="24"/>
        </w:rPr>
      </w:pPr>
      <w:bookmarkStart w:id="0" w:name="_Hlk526155893"/>
      <w:r w:rsidRPr="00F87AD8">
        <w:rPr>
          <w:rFonts w:cs="Times New Roman"/>
          <w:b/>
          <w:szCs w:val="24"/>
        </w:rPr>
        <w:t>ATMINTINĖ</w:t>
      </w:r>
      <w:bookmarkStart w:id="1" w:name="_GoBack"/>
      <w:bookmarkEnd w:id="1"/>
    </w:p>
    <w:p w:rsidR="0091524D" w:rsidRPr="00F87AD8" w:rsidRDefault="008106C7" w:rsidP="006704C4">
      <w:pPr>
        <w:spacing w:after="0" w:line="240" w:lineRule="auto"/>
        <w:ind w:right="-314"/>
        <w:jc w:val="center"/>
        <w:rPr>
          <w:rFonts w:cs="Times New Roman"/>
          <w:b/>
          <w:caps/>
          <w:color w:val="000000" w:themeColor="text1"/>
          <w:szCs w:val="24"/>
        </w:rPr>
      </w:pPr>
      <w:r w:rsidRPr="00F87AD8">
        <w:rPr>
          <w:rFonts w:cs="Times New Roman"/>
          <w:b/>
          <w:caps/>
          <w:szCs w:val="24"/>
        </w:rPr>
        <w:t>P</w:t>
      </w:r>
      <w:r w:rsidR="0007763C" w:rsidRPr="00F87AD8">
        <w:rPr>
          <w:rFonts w:cs="Times New Roman"/>
          <w:b/>
          <w:caps/>
          <w:szCs w:val="24"/>
        </w:rPr>
        <w:t>areiškėjams</w:t>
      </w:r>
      <w:r w:rsidRPr="00F87AD8">
        <w:rPr>
          <w:rFonts w:cs="Times New Roman"/>
          <w:b/>
          <w:caps/>
          <w:szCs w:val="24"/>
        </w:rPr>
        <w:t>,</w:t>
      </w:r>
      <w:r w:rsidR="0007763C" w:rsidRPr="00F87AD8">
        <w:rPr>
          <w:rFonts w:cs="Times New Roman"/>
          <w:b/>
          <w:caps/>
          <w:szCs w:val="24"/>
        </w:rPr>
        <w:t xml:space="preserve"> </w:t>
      </w:r>
      <w:r w:rsidR="00C7597C" w:rsidRPr="00F87AD8">
        <w:rPr>
          <w:rFonts w:cs="Times New Roman"/>
          <w:b/>
          <w:caps/>
          <w:szCs w:val="24"/>
        </w:rPr>
        <w:t xml:space="preserve">teikusiems </w:t>
      </w:r>
      <w:r w:rsidR="0091524D" w:rsidRPr="00F87AD8">
        <w:rPr>
          <w:rFonts w:cs="Times New Roman"/>
          <w:b/>
          <w:caps/>
          <w:szCs w:val="24"/>
        </w:rPr>
        <w:t xml:space="preserve">paraiškas </w:t>
      </w:r>
      <w:r w:rsidR="006F5700" w:rsidRPr="00F87AD8">
        <w:rPr>
          <w:rFonts w:cs="Times New Roman"/>
          <w:b/>
          <w:caps/>
          <w:szCs w:val="24"/>
        </w:rPr>
        <w:t xml:space="preserve">2018 </w:t>
      </w:r>
      <w:r w:rsidR="0091524D" w:rsidRPr="00F87AD8">
        <w:rPr>
          <w:rFonts w:cs="Times New Roman"/>
          <w:b/>
          <w:caps/>
          <w:szCs w:val="24"/>
        </w:rPr>
        <w:t xml:space="preserve">m. pagal </w:t>
      </w:r>
      <w:r w:rsidR="009647F9" w:rsidRPr="00F87AD8">
        <w:rPr>
          <w:rFonts w:cs="Times New Roman"/>
          <w:b/>
          <w:bCs/>
          <w:caps/>
          <w:color w:val="000000"/>
          <w:szCs w:val="24"/>
        </w:rPr>
        <w:t xml:space="preserve">LIETUVOS ŽUVININKYSTĖS SEKTORIAUS 2014–2020 METŲ VEIKSMŲ PROGRAMOS </w:t>
      </w:r>
      <w:r w:rsidR="002C4182" w:rsidRPr="00F87AD8">
        <w:rPr>
          <w:rFonts w:cs="Times New Roman"/>
          <w:b/>
          <w:bCs/>
          <w:caps/>
          <w:color w:val="000000"/>
          <w:szCs w:val="24"/>
        </w:rPr>
        <w:t>PIRMOJO</w:t>
      </w:r>
      <w:r w:rsidR="009647F9" w:rsidRPr="00F87AD8">
        <w:rPr>
          <w:rFonts w:cs="Times New Roman"/>
          <w:b/>
          <w:bCs/>
          <w:caps/>
          <w:color w:val="000000"/>
          <w:szCs w:val="24"/>
        </w:rPr>
        <w:t xml:space="preserve"> SĄJUNGOS PRIORITETO </w:t>
      </w:r>
      <w:r w:rsidR="002C4182" w:rsidRPr="00F87AD8">
        <w:rPr>
          <w:rFonts w:cs="Times New Roman"/>
          <w:b/>
          <w:bCs/>
          <w:szCs w:val="24"/>
        </w:rPr>
        <w:t xml:space="preserve">„APLINKOSAUGOS POŽIŪRIU TVARIOS, EFEKTYVIAI IŠTEKLIUS NAUDOJANČIOS, INOVACINĖS, KONKURENCINGOS IR ŽINIOMIS GRINDŽIAMOS ŽVEJYBOS SKATINIMAS“ </w:t>
      </w:r>
      <w:r w:rsidR="002C4182" w:rsidRPr="00F87AD8">
        <w:rPr>
          <w:rFonts w:cs="Times New Roman"/>
          <w:b/>
          <w:bCs/>
          <w:szCs w:val="24"/>
          <w:lang w:eastAsia="lt-LT"/>
        </w:rPr>
        <w:t>PRIEMONĖS „ŽVEJYBOS UOSTAI, IŠKROVIMO VIETOS, AUKCIONŲ PATALPOS IR PRIEDANGOS. INVESTICIJOS Į ŽVEJYBOS UOSTŲ IR AUKCIONŲ PATALPŲ INFRASTRUKTŪROS ARBA IŠKROVIMO VIETŲ IR PRIEDANGŲ GERINIMĄ“</w:t>
      </w:r>
      <w:r w:rsidR="002C4182" w:rsidRPr="00F87AD8">
        <w:rPr>
          <w:rFonts w:cs="Times New Roman"/>
          <w:b/>
          <w:bCs/>
          <w:caps/>
          <w:color w:val="000000"/>
          <w:szCs w:val="24"/>
        </w:rPr>
        <w:t xml:space="preserve"> </w:t>
      </w:r>
      <w:r w:rsidR="009647F9" w:rsidRPr="00F87AD8">
        <w:rPr>
          <w:rFonts w:cs="Times New Roman"/>
          <w:b/>
          <w:bCs/>
          <w:caps/>
          <w:color w:val="000000"/>
          <w:szCs w:val="24"/>
        </w:rPr>
        <w:t>ĮGYVENDINIMO TAISYKLES</w:t>
      </w:r>
      <w:r w:rsidR="0091524D" w:rsidRPr="00F87AD8">
        <w:rPr>
          <w:rFonts w:cs="Times New Roman"/>
          <w:b/>
          <w:caps/>
          <w:szCs w:val="24"/>
        </w:rPr>
        <w:t>, patvir</w:t>
      </w:r>
      <w:r w:rsidR="003F2327" w:rsidRPr="00F87AD8">
        <w:rPr>
          <w:rFonts w:cs="Times New Roman"/>
          <w:b/>
          <w:caps/>
          <w:szCs w:val="24"/>
        </w:rPr>
        <w:t>t</w:t>
      </w:r>
      <w:r w:rsidR="0091524D" w:rsidRPr="00F87AD8">
        <w:rPr>
          <w:rFonts w:cs="Times New Roman"/>
          <w:b/>
          <w:caps/>
          <w:szCs w:val="24"/>
        </w:rPr>
        <w:t xml:space="preserve">intas </w:t>
      </w:r>
      <w:r w:rsidR="008E740D" w:rsidRPr="00F87AD8">
        <w:rPr>
          <w:rFonts w:cs="Times New Roman"/>
          <w:b/>
          <w:caps/>
          <w:szCs w:val="24"/>
        </w:rPr>
        <w:t xml:space="preserve">Lietuvos Respublikos žemės ūkio ministro </w:t>
      </w:r>
      <w:r w:rsidR="009647F9" w:rsidRPr="00F87AD8">
        <w:rPr>
          <w:rFonts w:cs="Times New Roman"/>
          <w:b/>
          <w:caps/>
          <w:color w:val="000000"/>
          <w:szCs w:val="24"/>
        </w:rPr>
        <w:t>201</w:t>
      </w:r>
      <w:r w:rsidR="002C4182" w:rsidRPr="00F87AD8">
        <w:rPr>
          <w:rFonts w:cs="Times New Roman"/>
          <w:b/>
          <w:caps/>
          <w:color w:val="000000"/>
          <w:szCs w:val="24"/>
        </w:rPr>
        <w:t>8</w:t>
      </w:r>
      <w:r w:rsidR="009647F9" w:rsidRPr="00F87AD8">
        <w:rPr>
          <w:rFonts w:cs="Times New Roman"/>
          <w:b/>
          <w:caps/>
          <w:color w:val="000000"/>
          <w:szCs w:val="24"/>
        </w:rPr>
        <w:t xml:space="preserve"> </w:t>
      </w:r>
      <w:r w:rsidR="008E740D" w:rsidRPr="00F87AD8">
        <w:rPr>
          <w:rFonts w:cs="Times New Roman"/>
          <w:b/>
          <w:caps/>
          <w:color w:val="000000"/>
          <w:szCs w:val="24"/>
        </w:rPr>
        <w:t xml:space="preserve">m. </w:t>
      </w:r>
      <w:r w:rsidR="002C4182" w:rsidRPr="00F87AD8">
        <w:rPr>
          <w:rFonts w:cs="Times New Roman"/>
          <w:b/>
          <w:caps/>
          <w:color w:val="000000"/>
          <w:szCs w:val="24"/>
        </w:rPr>
        <w:t>RUGPJŪČIO</w:t>
      </w:r>
      <w:r w:rsidR="009647F9" w:rsidRPr="00F87AD8">
        <w:rPr>
          <w:rFonts w:cs="Times New Roman"/>
          <w:b/>
          <w:caps/>
          <w:color w:val="000000"/>
          <w:szCs w:val="24"/>
        </w:rPr>
        <w:t xml:space="preserve"> 10</w:t>
      </w:r>
      <w:r w:rsidR="008E740D" w:rsidRPr="00F87AD8">
        <w:rPr>
          <w:rFonts w:cs="Times New Roman"/>
          <w:b/>
          <w:caps/>
          <w:color w:val="000000"/>
          <w:szCs w:val="24"/>
        </w:rPr>
        <w:t xml:space="preserve"> d. įsakymu Nr. 3D-</w:t>
      </w:r>
      <w:r w:rsidR="00BC0FE1" w:rsidRPr="00F87AD8">
        <w:rPr>
          <w:rFonts w:cs="Times New Roman"/>
          <w:b/>
          <w:caps/>
          <w:color w:val="000000"/>
          <w:szCs w:val="24"/>
        </w:rPr>
        <w:t> 542</w:t>
      </w:r>
      <w:r w:rsidR="009647F9" w:rsidRPr="00F87AD8">
        <w:rPr>
          <w:rFonts w:cs="Times New Roman"/>
          <w:b/>
          <w:caps/>
          <w:color w:val="000000"/>
          <w:szCs w:val="24"/>
        </w:rPr>
        <w:t xml:space="preserve"> </w:t>
      </w:r>
    </w:p>
    <w:p w:rsidR="006E150E" w:rsidRPr="00F87AD8" w:rsidRDefault="006E150E" w:rsidP="00F668A7">
      <w:pPr>
        <w:spacing w:after="0" w:line="240" w:lineRule="auto"/>
        <w:jc w:val="center"/>
        <w:rPr>
          <w:rFonts w:cs="Times New Roman"/>
          <w:caps/>
          <w:color w:val="000000" w:themeColor="text1"/>
          <w:szCs w:val="24"/>
        </w:rPr>
      </w:pPr>
    </w:p>
    <w:p w:rsidR="0091524D" w:rsidRPr="00F87AD8" w:rsidRDefault="0091524D" w:rsidP="00753B6A">
      <w:pPr>
        <w:spacing w:after="0" w:line="240" w:lineRule="auto"/>
        <w:rPr>
          <w:rFonts w:cs="Times New Roman"/>
          <w:color w:val="000000" w:themeColor="text1"/>
          <w:szCs w:val="24"/>
        </w:rPr>
      </w:pPr>
    </w:p>
    <w:tbl>
      <w:tblPr>
        <w:tblStyle w:val="TableGrid"/>
        <w:tblW w:w="14879" w:type="dxa"/>
        <w:tblLook w:val="04A0" w:firstRow="1" w:lastRow="0" w:firstColumn="1" w:lastColumn="0" w:noHBand="0" w:noVBand="1"/>
      </w:tblPr>
      <w:tblGrid>
        <w:gridCol w:w="7933"/>
        <w:gridCol w:w="3969"/>
        <w:gridCol w:w="2977"/>
      </w:tblGrid>
      <w:tr w:rsidR="0091524D" w:rsidRPr="00F87AD8" w:rsidTr="0061322E">
        <w:tc>
          <w:tcPr>
            <w:tcW w:w="7933" w:type="dxa"/>
            <w:shd w:val="clear" w:color="auto" w:fill="D9D9D9" w:themeFill="background1" w:themeFillShade="D9"/>
          </w:tcPr>
          <w:p w:rsidR="0091524D" w:rsidRPr="00F87AD8" w:rsidRDefault="0091524D" w:rsidP="00B105C1">
            <w:pPr>
              <w:jc w:val="center"/>
              <w:rPr>
                <w:rFonts w:cs="Times New Roman"/>
                <w:b/>
                <w:color w:val="000000" w:themeColor="text1"/>
                <w:szCs w:val="24"/>
              </w:rPr>
            </w:pPr>
            <w:r w:rsidRPr="00F87AD8">
              <w:rPr>
                <w:rFonts w:cs="Times New Roman"/>
                <w:b/>
                <w:color w:val="000000" w:themeColor="text1"/>
                <w:szCs w:val="24"/>
              </w:rPr>
              <w:t>Privalu žinoti</w:t>
            </w:r>
          </w:p>
        </w:tc>
        <w:tc>
          <w:tcPr>
            <w:tcW w:w="3969" w:type="dxa"/>
            <w:shd w:val="clear" w:color="auto" w:fill="D9D9D9" w:themeFill="background1" w:themeFillShade="D9"/>
          </w:tcPr>
          <w:p w:rsidR="0091524D" w:rsidRPr="00F87AD8" w:rsidRDefault="0091524D" w:rsidP="00B105C1">
            <w:pPr>
              <w:jc w:val="center"/>
              <w:rPr>
                <w:rFonts w:cs="Times New Roman"/>
                <w:b/>
                <w:color w:val="000000" w:themeColor="text1"/>
                <w:szCs w:val="24"/>
              </w:rPr>
            </w:pPr>
            <w:r w:rsidRPr="00F87AD8">
              <w:rPr>
                <w:rFonts w:cs="Times New Roman"/>
                <w:b/>
                <w:color w:val="000000" w:themeColor="text1"/>
                <w:szCs w:val="24"/>
              </w:rPr>
              <w:t>Taikoma sankcija</w:t>
            </w:r>
          </w:p>
        </w:tc>
        <w:tc>
          <w:tcPr>
            <w:tcW w:w="2977" w:type="dxa"/>
            <w:shd w:val="clear" w:color="auto" w:fill="D9D9D9" w:themeFill="background1" w:themeFillShade="D9"/>
          </w:tcPr>
          <w:p w:rsidR="0091524D" w:rsidRPr="00F87AD8" w:rsidRDefault="0091524D" w:rsidP="00B105C1">
            <w:pPr>
              <w:jc w:val="center"/>
              <w:rPr>
                <w:rFonts w:cs="Times New Roman"/>
                <w:b/>
                <w:color w:val="000000" w:themeColor="text1"/>
                <w:szCs w:val="24"/>
              </w:rPr>
            </w:pPr>
            <w:r w:rsidRPr="00F87AD8">
              <w:rPr>
                <w:rFonts w:cs="Times New Roman"/>
                <w:b/>
                <w:color w:val="000000" w:themeColor="text1"/>
                <w:szCs w:val="24"/>
              </w:rPr>
              <w:t>Nuoroda į teisės aktą</w:t>
            </w:r>
          </w:p>
        </w:tc>
      </w:tr>
      <w:tr w:rsidR="0091524D" w:rsidRPr="00F87AD8" w:rsidTr="0061322E">
        <w:tc>
          <w:tcPr>
            <w:tcW w:w="7933" w:type="dxa"/>
          </w:tcPr>
          <w:p w:rsidR="0091524D" w:rsidRPr="00F87AD8" w:rsidRDefault="00FB758C" w:rsidP="00DE1068">
            <w:pPr>
              <w:tabs>
                <w:tab w:val="left" w:pos="601"/>
              </w:tabs>
              <w:ind w:right="-57"/>
              <w:jc w:val="both"/>
              <w:rPr>
                <w:rFonts w:cs="Times New Roman"/>
                <w:color w:val="000000" w:themeColor="text1"/>
                <w:szCs w:val="24"/>
              </w:rPr>
            </w:pPr>
            <w:r w:rsidRPr="00F87AD8">
              <w:rPr>
                <w:rFonts w:cs="Times New Roman"/>
                <w:szCs w:val="24"/>
              </w:rPr>
              <w:t xml:space="preserve">Projekto įgyvendinimo laikotarpis negali viršyti 36 mėnesių nuo paramos sutarties pasirašymo dienos. Projektai, kuriems skiriama parama, turi būti įgyvendinti ir paramos lėšos išmokėtos iki 2023 m. gruodžio 31 d. Siekdamas, kad paramos lėšos būtų išmokėtos iki 2023 m. gruodžio 31 d., paramos gavėjas turi suplanuoti projekto veiklas taip, kad </w:t>
            </w:r>
            <w:r w:rsidRPr="00F87AD8">
              <w:rPr>
                <w:rFonts w:eastAsia="Calibri" w:cs="Times New Roman"/>
                <w:szCs w:val="24"/>
                <w:lang w:eastAsia="lt-LT"/>
              </w:rPr>
              <w:t>Nacionalinei mokėjimo agentūrai prie Žemės ūkio ministerijos</w:t>
            </w:r>
            <w:r w:rsidRPr="00F87AD8">
              <w:rPr>
                <w:rFonts w:cs="Times New Roman"/>
                <w:szCs w:val="24"/>
              </w:rPr>
              <w:t xml:space="preserve"> (toliau – NMA) paskutinis mokėjimo prašymas būtų pateiktas ne vėliau kaip </w:t>
            </w:r>
            <w:r w:rsidR="003B69C0" w:rsidRPr="00F87AD8">
              <w:rPr>
                <w:rFonts w:eastAsia="Calibri" w:cs="Times New Roman"/>
                <w:szCs w:val="24"/>
                <w:lang w:eastAsia="lt-LT"/>
              </w:rPr>
              <w:t>iki 2023 m. rugpjūčio 31 d.</w:t>
            </w:r>
          </w:p>
        </w:tc>
        <w:tc>
          <w:tcPr>
            <w:tcW w:w="3969" w:type="dxa"/>
          </w:tcPr>
          <w:p w:rsidR="0091524D" w:rsidRPr="0061322E" w:rsidRDefault="003B69C0" w:rsidP="00FB758C">
            <w:pPr>
              <w:pStyle w:val="Text3"/>
              <w:snapToGrid w:val="0"/>
              <w:spacing w:after="0"/>
              <w:ind w:left="0"/>
              <w:jc w:val="left"/>
              <w:rPr>
                <w:color w:val="000000" w:themeColor="text1"/>
                <w:szCs w:val="24"/>
                <w:lang w:val="lt-LT"/>
              </w:rPr>
            </w:pPr>
            <w:r w:rsidRPr="0061322E">
              <w:rPr>
                <w:color w:val="000000"/>
                <w:szCs w:val="24"/>
                <w:lang w:val="lt-LT"/>
              </w:rPr>
              <w:t>Paramos neskyrim</w:t>
            </w:r>
            <w:r w:rsidR="00AF759A">
              <w:rPr>
                <w:color w:val="000000"/>
                <w:szCs w:val="24"/>
                <w:lang w:val="lt-LT"/>
              </w:rPr>
              <w:t>o</w:t>
            </w:r>
            <w:r w:rsidRPr="0061322E">
              <w:rPr>
                <w:color w:val="000000"/>
                <w:szCs w:val="24"/>
                <w:lang w:val="lt-LT"/>
              </w:rPr>
              <w:t>, sumažinim</w:t>
            </w:r>
            <w:r w:rsidR="00AF759A">
              <w:rPr>
                <w:color w:val="000000"/>
                <w:szCs w:val="24"/>
                <w:lang w:val="lt-LT"/>
              </w:rPr>
              <w:t>o</w:t>
            </w:r>
            <w:r w:rsidRPr="0061322E">
              <w:rPr>
                <w:color w:val="000000"/>
                <w:szCs w:val="24"/>
                <w:lang w:val="lt-LT"/>
              </w:rPr>
              <w:t xml:space="preserve"> arba paramos susigrąžinim</w:t>
            </w:r>
            <w:r w:rsidR="00AF759A">
              <w:rPr>
                <w:color w:val="000000"/>
                <w:szCs w:val="24"/>
                <w:lang w:val="lt-LT"/>
              </w:rPr>
              <w:t>o</w:t>
            </w:r>
            <w:r w:rsidRPr="0061322E">
              <w:rPr>
                <w:color w:val="000000"/>
                <w:szCs w:val="24"/>
                <w:lang w:val="lt-LT"/>
              </w:rPr>
              <w:t xml:space="preserve"> 0,5–100 proc. nuo išmokėtos ar mokėtinos paramos sumos sankcija, bet ne mažiau nei 100,01 Eur.</w:t>
            </w:r>
          </w:p>
        </w:tc>
        <w:tc>
          <w:tcPr>
            <w:tcW w:w="2977" w:type="dxa"/>
          </w:tcPr>
          <w:p w:rsidR="0091524D" w:rsidRPr="00F87AD8" w:rsidRDefault="003B69C0" w:rsidP="00DE1068">
            <w:pPr>
              <w:jc w:val="both"/>
              <w:rPr>
                <w:rFonts w:cs="Times New Roman"/>
                <w:color w:val="000000" w:themeColor="text1"/>
                <w:szCs w:val="24"/>
              </w:rPr>
            </w:pPr>
            <w:r w:rsidRPr="00F87AD8">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F759A">
              <w:rPr>
                <w:rFonts w:cs="Times New Roman"/>
                <w:color w:val="000000" w:themeColor="text1"/>
                <w:szCs w:val="24"/>
              </w:rPr>
              <w:t> </w:t>
            </w:r>
            <w:r w:rsidRPr="00F87AD8">
              <w:rPr>
                <w:rFonts w:cs="Times New Roman"/>
                <w:color w:val="000000" w:themeColor="text1"/>
                <w:szCs w:val="24"/>
              </w:rPr>
              <w:t>3D-639)</w:t>
            </w:r>
            <w:r w:rsidR="00B247BE">
              <w:rPr>
                <w:rFonts w:cs="Times New Roman"/>
                <w:color w:val="000000" w:themeColor="text1"/>
                <w:szCs w:val="24"/>
              </w:rPr>
              <w:t xml:space="preserve"> (toliau – Metodika)</w:t>
            </w:r>
          </w:p>
        </w:tc>
      </w:tr>
      <w:tr w:rsidR="00FB758C" w:rsidRPr="00F87AD8" w:rsidTr="0061322E">
        <w:tc>
          <w:tcPr>
            <w:tcW w:w="7933" w:type="dxa"/>
          </w:tcPr>
          <w:p w:rsidR="00FB758C" w:rsidRPr="00F87AD8" w:rsidRDefault="00FB758C" w:rsidP="00DE1068">
            <w:pPr>
              <w:tabs>
                <w:tab w:val="left" w:pos="601"/>
              </w:tabs>
              <w:ind w:right="-57"/>
              <w:jc w:val="both"/>
              <w:rPr>
                <w:rFonts w:cs="Times New Roman"/>
                <w:szCs w:val="24"/>
              </w:rPr>
            </w:pPr>
            <w:r w:rsidRPr="00F87AD8">
              <w:rPr>
                <w:rFonts w:cs="Times New Roman"/>
                <w:szCs w:val="24"/>
              </w:rPr>
              <w:t>Nuo paramos paraiškos pateikimo d</w:t>
            </w:r>
            <w:r w:rsidR="00E55E94" w:rsidRPr="00F87AD8">
              <w:rPr>
                <w:rFonts w:cs="Times New Roman"/>
                <w:szCs w:val="24"/>
              </w:rPr>
              <w:t>ienos</w:t>
            </w:r>
            <w:r w:rsidRPr="00F87AD8">
              <w:rPr>
                <w:rFonts w:cs="Times New Roman"/>
                <w:szCs w:val="24"/>
              </w:rPr>
              <w:t xml:space="preserve"> iki projekto kontrolės laikotarpio pabaigos tvarkyti buhalterinę apskaitą </w:t>
            </w:r>
            <w:r w:rsidRPr="00F87AD8">
              <w:rPr>
                <w:rFonts w:eastAsia="Calibri" w:cs="Times New Roman"/>
                <w:szCs w:val="24"/>
                <w:lang w:eastAsia="lt-LT"/>
              </w:rPr>
              <w:t>pagal Lietuvos Respublikos teisės aktų nustatytus reikalavimus</w:t>
            </w:r>
            <w:r w:rsidR="00180D66" w:rsidRPr="00F87AD8">
              <w:rPr>
                <w:rFonts w:eastAsia="Calibri" w:cs="Times New Roman"/>
                <w:szCs w:val="24"/>
                <w:lang w:eastAsia="lt-LT"/>
              </w:rPr>
              <w:t>. P</w:t>
            </w:r>
            <w:r w:rsidRPr="00F87AD8">
              <w:rPr>
                <w:rFonts w:eastAsia="Calibri" w:cs="Times New Roman"/>
                <w:szCs w:val="24"/>
              </w:rPr>
              <w:t>rojekto apskaitai turi būti nustatyta atskira apskaitos sistema arba tinkamas visų su projektu susijusių išlaidų apskaitos kodas.</w:t>
            </w:r>
          </w:p>
        </w:tc>
        <w:tc>
          <w:tcPr>
            <w:tcW w:w="3969" w:type="dxa"/>
          </w:tcPr>
          <w:p w:rsidR="00FB758C" w:rsidRPr="00F87AD8" w:rsidRDefault="00FB758C">
            <w:pPr>
              <w:pStyle w:val="Text3"/>
              <w:snapToGrid w:val="0"/>
              <w:spacing w:after="0"/>
              <w:ind w:left="0"/>
              <w:jc w:val="left"/>
              <w:rPr>
                <w:szCs w:val="24"/>
                <w:lang w:val="lt-LT"/>
              </w:rPr>
            </w:pPr>
            <w:proofErr w:type="spellStart"/>
            <w:r w:rsidRPr="00F87AD8">
              <w:rPr>
                <w:szCs w:val="24"/>
              </w:rPr>
              <w:t>Paramos</w:t>
            </w:r>
            <w:proofErr w:type="spellEnd"/>
            <w:r w:rsidRPr="00F87AD8">
              <w:rPr>
                <w:szCs w:val="24"/>
              </w:rPr>
              <w:t xml:space="preserve"> </w:t>
            </w:r>
            <w:proofErr w:type="spellStart"/>
            <w:r w:rsidRPr="00F87AD8">
              <w:rPr>
                <w:szCs w:val="24"/>
              </w:rPr>
              <w:t>sumažinim</w:t>
            </w:r>
            <w:proofErr w:type="spellEnd"/>
            <w:r w:rsidR="00475BF9">
              <w:rPr>
                <w:szCs w:val="24"/>
                <w:lang w:val="lt-LT"/>
              </w:rPr>
              <w:t>o</w:t>
            </w:r>
            <w:r w:rsidRPr="00F87AD8">
              <w:rPr>
                <w:szCs w:val="24"/>
              </w:rPr>
              <w:t xml:space="preserve"> </w:t>
            </w:r>
            <w:proofErr w:type="spellStart"/>
            <w:r w:rsidRPr="00F87AD8">
              <w:rPr>
                <w:szCs w:val="24"/>
              </w:rPr>
              <w:t>arba</w:t>
            </w:r>
            <w:proofErr w:type="spellEnd"/>
            <w:r w:rsidRPr="00F87AD8">
              <w:rPr>
                <w:szCs w:val="24"/>
              </w:rPr>
              <w:t xml:space="preserve"> </w:t>
            </w:r>
            <w:proofErr w:type="spellStart"/>
            <w:r w:rsidRPr="00F87AD8">
              <w:rPr>
                <w:szCs w:val="24"/>
              </w:rPr>
              <w:t>paramos</w:t>
            </w:r>
            <w:proofErr w:type="spellEnd"/>
            <w:r w:rsidRPr="00F87AD8">
              <w:rPr>
                <w:szCs w:val="24"/>
              </w:rPr>
              <w:t xml:space="preserve"> </w:t>
            </w:r>
            <w:proofErr w:type="spellStart"/>
            <w:r w:rsidRPr="00F87AD8">
              <w:rPr>
                <w:szCs w:val="24"/>
              </w:rPr>
              <w:t>susigrąžinim</w:t>
            </w:r>
            <w:proofErr w:type="spellEnd"/>
            <w:r w:rsidR="00475BF9">
              <w:rPr>
                <w:szCs w:val="24"/>
                <w:lang w:val="lt-LT"/>
              </w:rPr>
              <w:t>o</w:t>
            </w:r>
            <w:r w:rsidRPr="00F87AD8">
              <w:rPr>
                <w:szCs w:val="24"/>
              </w:rPr>
              <w:t xml:space="preserve"> 0,5–10 proc. </w:t>
            </w:r>
            <w:proofErr w:type="gramStart"/>
            <w:r w:rsidRPr="00F87AD8">
              <w:rPr>
                <w:szCs w:val="24"/>
              </w:rPr>
              <w:t>nuo</w:t>
            </w:r>
            <w:proofErr w:type="gramEnd"/>
            <w:r w:rsidRPr="00F87AD8">
              <w:rPr>
                <w:szCs w:val="24"/>
              </w:rPr>
              <w:t xml:space="preserve"> išmokėtos paramos sumos</w:t>
            </w:r>
            <w:r w:rsidR="00475BF9">
              <w:rPr>
                <w:szCs w:val="24"/>
                <w:lang w:val="lt-LT"/>
              </w:rPr>
              <w:t xml:space="preserve"> sankcija</w:t>
            </w:r>
            <w:r w:rsidRPr="00F87AD8">
              <w:rPr>
                <w:szCs w:val="24"/>
              </w:rPr>
              <w:t xml:space="preserve">, bet ne </w:t>
            </w:r>
            <w:proofErr w:type="spellStart"/>
            <w:r w:rsidRPr="00F87AD8">
              <w:rPr>
                <w:szCs w:val="24"/>
              </w:rPr>
              <w:t>mažiau</w:t>
            </w:r>
            <w:proofErr w:type="spellEnd"/>
            <w:r w:rsidRPr="00F87AD8">
              <w:rPr>
                <w:szCs w:val="24"/>
              </w:rPr>
              <w:t xml:space="preserve"> </w:t>
            </w:r>
            <w:proofErr w:type="spellStart"/>
            <w:r w:rsidRPr="00F87AD8">
              <w:rPr>
                <w:szCs w:val="24"/>
              </w:rPr>
              <w:t>nei</w:t>
            </w:r>
            <w:proofErr w:type="spellEnd"/>
            <w:r w:rsidRPr="00F87AD8">
              <w:rPr>
                <w:szCs w:val="24"/>
              </w:rPr>
              <w:t xml:space="preserve"> 100,01 </w:t>
            </w:r>
            <w:proofErr w:type="spellStart"/>
            <w:r w:rsidRPr="00F87AD8">
              <w:rPr>
                <w:szCs w:val="24"/>
              </w:rPr>
              <w:t>Eur</w:t>
            </w:r>
            <w:proofErr w:type="spellEnd"/>
            <w:r w:rsidRPr="00F87AD8">
              <w:rPr>
                <w:szCs w:val="24"/>
              </w:rPr>
              <w:t>.</w:t>
            </w:r>
          </w:p>
        </w:tc>
        <w:tc>
          <w:tcPr>
            <w:tcW w:w="2977" w:type="dxa"/>
          </w:tcPr>
          <w:p w:rsidR="00FB758C" w:rsidRPr="00F87AD8" w:rsidRDefault="00B247BE" w:rsidP="00DE1068">
            <w:pPr>
              <w:jc w:val="both"/>
              <w:rPr>
                <w:rFonts w:cs="Times New Roman"/>
                <w:color w:val="000000" w:themeColor="text1"/>
                <w:szCs w:val="24"/>
              </w:rPr>
            </w:pPr>
            <w:r>
              <w:rPr>
                <w:rFonts w:cs="Times New Roman"/>
                <w:color w:val="000000" w:themeColor="text1"/>
                <w:szCs w:val="24"/>
              </w:rPr>
              <w:t>M</w:t>
            </w:r>
            <w:r w:rsidR="00FB758C" w:rsidRPr="00F87AD8">
              <w:rPr>
                <w:rFonts w:cs="Times New Roman"/>
                <w:color w:val="000000" w:themeColor="text1"/>
                <w:szCs w:val="24"/>
              </w:rPr>
              <w:t xml:space="preserve">etodika </w:t>
            </w:r>
          </w:p>
        </w:tc>
      </w:tr>
      <w:tr w:rsidR="0091524D" w:rsidRPr="00F87AD8" w:rsidTr="0061322E">
        <w:tc>
          <w:tcPr>
            <w:tcW w:w="7933" w:type="dxa"/>
          </w:tcPr>
          <w:p w:rsidR="0091524D" w:rsidRPr="00F87AD8" w:rsidRDefault="0006798A" w:rsidP="00DE1068">
            <w:pPr>
              <w:jc w:val="both"/>
              <w:rPr>
                <w:rFonts w:cs="Times New Roman"/>
                <w:color w:val="000000" w:themeColor="text1"/>
                <w:szCs w:val="24"/>
              </w:rPr>
            </w:pPr>
            <w:r w:rsidRPr="00F87AD8">
              <w:rPr>
                <w:rFonts w:cs="Times New Roman"/>
                <w:color w:val="000000"/>
                <w:szCs w:val="24"/>
              </w:rPr>
              <w:t xml:space="preserve">Apdrausti </w:t>
            </w:r>
            <w:r w:rsidR="00180D66" w:rsidRPr="00F87AD8">
              <w:rPr>
                <w:rFonts w:eastAsia="Calibri" w:cs="Times New Roman"/>
                <w:szCs w:val="24"/>
                <w:lang w:eastAsia="lt-LT"/>
              </w:rPr>
              <w:t xml:space="preserve">ilgalaikį </w:t>
            </w:r>
            <w:r w:rsidR="00180D66" w:rsidRPr="00F87AD8">
              <w:rPr>
                <w:rFonts w:eastAsia="Calibri" w:cs="Times New Roman"/>
                <w:szCs w:val="24"/>
              </w:rPr>
              <w:t>materialųjį</w:t>
            </w:r>
            <w:r w:rsidR="00180D66" w:rsidRPr="00F87AD8">
              <w:rPr>
                <w:rFonts w:eastAsia="Calibri" w:cs="Times New Roman"/>
                <w:szCs w:val="24"/>
                <w:lang w:eastAsia="lt-LT"/>
              </w:rPr>
              <w:t xml:space="preserve"> turtą, kuriam įsigyti ar sukurti bus panaudota parama, nuo paramos sutarties pasirašymo (arba ne anksčiau nei nuo turto įsigijimo)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Reikalavimas gali būti netaikomas, jei pareiškėjas įrodo, kad apdrausti paramos lėšomis įgytą ar sukurtą turtą nėra galimybių, ir kartu su mokėjimo prašymu pateikia bent tris šio fakto patvirtinimo skirtingų draudimo įmonių atsisakymo suteikti draudimo paslaugas raštus. </w:t>
            </w:r>
          </w:p>
        </w:tc>
        <w:tc>
          <w:tcPr>
            <w:tcW w:w="3969" w:type="dxa"/>
          </w:tcPr>
          <w:p w:rsidR="00B4010C" w:rsidRPr="00F87AD8" w:rsidRDefault="00A90978" w:rsidP="00B4010C">
            <w:pPr>
              <w:widowControl w:val="0"/>
              <w:tabs>
                <w:tab w:val="left" w:pos="2302"/>
              </w:tabs>
              <w:snapToGrid w:val="0"/>
              <w:jc w:val="both"/>
              <w:rPr>
                <w:rFonts w:cs="Times New Roman"/>
                <w:szCs w:val="24"/>
                <w:lang w:eastAsia="ar-SA"/>
              </w:rPr>
            </w:pPr>
            <w:r w:rsidRPr="00F87AD8">
              <w:rPr>
                <w:rFonts w:cs="Times New Roman"/>
                <w:szCs w:val="24"/>
              </w:rPr>
              <w:t>Paramos sumažinim</w:t>
            </w:r>
            <w:r w:rsidR="00475BF9">
              <w:rPr>
                <w:rFonts w:cs="Times New Roman"/>
                <w:szCs w:val="24"/>
              </w:rPr>
              <w:t>o</w:t>
            </w:r>
            <w:r w:rsidRPr="00F87AD8">
              <w:rPr>
                <w:rFonts w:cs="Times New Roman"/>
                <w:szCs w:val="24"/>
              </w:rPr>
              <w:t xml:space="preserve"> ir (arba) paramos susigrąžinim</w:t>
            </w:r>
            <w:r w:rsidR="00475BF9">
              <w:rPr>
                <w:rFonts w:cs="Times New Roman"/>
                <w:szCs w:val="24"/>
              </w:rPr>
              <w:t>o</w:t>
            </w:r>
            <w:r w:rsidRPr="00F87AD8">
              <w:rPr>
                <w:rFonts w:cs="Times New Roman"/>
                <w:szCs w:val="24"/>
              </w:rPr>
              <w:t xml:space="preserve"> 0,5–4 proc. nuo </w:t>
            </w:r>
            <w:r w:rsidR="00B4010C" w:rsidRPr="00F87AD8">
              <w:rPr>
                <w:rFonts w:cs="Times New Roman"/>
                <w:szCs w:val="24"/>
                <w:lang w:eastAsia="ar-SA"/>
              </w:rPr>
              <w:t>pradinės pripažinto tinkamu finansuoti kiekvieno atskirai neapdrausto turto vertės</w:t>
            </w:r>
            <w:r w:rsidR="008E4815">
              <w:rPr>
                <w:rFonts w:cs="Times New Roman"/>
                <w:szCs w:val="24"/>
                <w:lang w:eastAsia="ar-SA"/>
              </w:rPr>
              <w:t xml:space="preserve"> sankcija</w:t>
            </w:r>
            <w:r w:rsidR="00B4010C" w:rsidRPr="00F87AD8">
              <w:rPr>
                <w:rFonts w:cs="Times New Roman"/>
                <w:szCs w:val="24"/>
                <w:lang w:eastAsia="ar-SA"/>
              </w:rPr>
              <w:t>, bet ne mažiau nei 100,01 Eur.</w:t>
            </w:r>
          </w:p>
          <w:p w:rsidR="0091524D" w:rsidRPr="00F87AD8" w:rsidRDefault="0091524D" w:rsidP="00DE1068">
            <w:pPr>
              <w:jc w:val="both"/>
              <w:rPr>
                <w:rFonts w:cs="Times New Roman"/>
                <w:color w:val="000000" w:themeColor="text1"/>
                <w:szCs w:val="24"/>
              </w:rPr>
            </w:pPr>
          </w:p>
        </w:tc>
        <w:tc>
          <w:tcPr>
            <w:tcW w:w="2977" w:type="dxa"/>
          </w:tcPr>
          <w:p w:rsidR="0091524D" w:rsidRPr="00F87AD8" w:rsidRDefault="00B247BE" w:rsidP="00DE1068">
            <w:pPr>
              <w:jc w:val="both"/>
              <w:rPr>
                <w:rFonts w:cs="Times New Roman"/>
                <w:color w:val="000000" w:themeColor="text1"/>
                <w:szCs w:val="24"/>
              </w:rPr>
            </w:pPr>
            <w:r>
              <w:rPr>
                <w:rFonts w:cs="Times New Roman"/>
                <w:color w:val="000000" w:themeColor="text1"/>
                <w:szCs w:val="24"/>
              </w:rPr>
              <w:t>M</w:t>
            </w:r>
            <w:r w:rsidR="00C63861" w:rsidRPr="00F87AD8">
              <w:rPr>
                <w:rFonts w:cs="Times New Roman"/>
                <w:color w:val="000000" w:themeColor="text1"/>
                <w:szCs w:val="24"/>
              </w:rPr>
              <w:t xml:space="preserve">etodika </w:t>
            </w:r>
          </w:p>
        </w:tc>
      </w:tr>
      <w:tr w:rsidR="0091524D" w:rsidRPr="00F87AD8" w:rsidTr="0061322E">
        <w:tc>
          <w:tcPr>
            <w:tcW w:w="7933" w:type="dxa"/>
          </w:tcPr>
          <w:p w:rsidR="00B6426C" w:rsidRPr="00F87AD8" w:rsidRDefault="00B6426C" w:rsidP="00DE1068">
            <w:pPr>
              <w:jc w:val="both"/>
              <w:rPr>
                <w:rFonts w:cs="Times New Roman"/>
                <w:color w:val="000000"/>
                <w:szCs w:val="24"/>
                <w:shd w:val="clear" w:color="auto" w:fill="FFFFFF"/>
              </w:rPr>
            </w:pPr>
            <w:r w:rsidRPr="00F87AD8">
              <w:rPr>
                <w:rFonts w:eastAsia="Calibri" w:cs="Times New Roman"/>
                <w:szCs w:val="24"/>
                <w:lang w:eastAsia="lt-LT"/>
              </w:rPr>
              <w:lastRenderedPageBreak/>
              <w:t xml:space="preserve">Nekeisti remiamos veiklos pobūdžio, numatytų investicijų, projekto įgyvendinimo sąlygų ir nuosavybės formos, neįkeisti (be rašytinio </w:t>
            </w:r>
            <w:r w:rsidR="008E4815">
              <w:rPr>
                <w:rFonts w:eastAsia="Calibri" w:cs="Times New Roman"/>
                <w:szCs w:val="24"/>
                <w:lang w:eastAsia="lt-LT"/>
              </w:rPr>
              <w:t>NMA</w:t>
            </w:r>
            <w:r w:rsidR="008E4815" w:rsidRPr="00F87AD8">
              <w:rPr>
                <w:rFonts w:eastAsia="Calibri" w:cs="Times New Roman"/>
                <w:szCs w:val="24"/>
                <w:lang w:eastAsia="lt-LT"/>
              </w:rPr>
              <w:t xml:space="preserve"> </w:t>
            </w:r>
            <w:r w:rsidRPr="00F87AD8">
              <w:rPr>
                <w:rFonts w:eastAsia="Calibri" w:cs="Times New Roman"/>
                <w:szCs w:val="24"/>
                <w:lang w:eastAsia="lt-LT"/>
              </w:rPr>
              <w:t xml:space="preserve">sutikimo), neparduoti ir kitaip neperduoti kitam asmeniui už paramos lėšas įgytos nuosavybės, nenutraukti projekto veiklos, nekeisti projekto įgyvendinimo vietos nuo paramos paraiškos pateikimo dienos iki projekto kontrolės laikotarpio pabaigos (leidimą įkeisti turtą </w:t>
            </w:r>
            <w:r w:rsidR="008E4815">
              <w:rPr>
                <w:rFonts w:eastAsia="Calibri" w:cs="Times New Roman"/>
                <w:szCs w:val="24"/>
                <w:lang w:eastAsia="lt-LT"/>
              </w:rPr>
              <w:t>NMA</w:t>
            </w:r>
            <w:r w:rsidR="008E4815" w:rsidRPr="00F87AD8">
              <w:rPr>
                <w:rFonts w:eastAsia="Calibri" w:cs="Times New Roman"/>
                <w:szCs w:val="24"/>
                <w:lang w:eastAsia="lt-LT"/>
              </w:rPr>
              <w:t xml:space="preserve"> </w:t>
            </w:r>
            <w:r w:rsidRPr="00F87AD8">
              <w:rPr>
                <w:rFonts w:eastAsia="Calibri" w:cs="Times New Roman"/>
                <w:szCs w:val="24"/>
                <w:lang w:eastAsia="lt-LT"/>
              </w:rPr>
              <w:t>gali suteikti tik tiems paramos gavėjams, kurie paramos paraiškoje kredito įstaigos paskolą įvardijo kaip vieną iš projekto finansavimo šaltinių). Kai pareiškėjas yra savivaldybės administracija, už paramos lėšas įgytas turtas gali būti perduodamas savivaldybės kontroliuojamai įmonei turtą valdyti ir (arba) jį naudoti turto patikėjimo teise.</w:t>
            </w:r>
          </w:p>
          <w:p w:rsidR="0091524D" w:rsidRPr="00F87AD8" w:rsidRDefault="0091524D" w:rsidP="00DE1068">
            <w:pPr>
              <w:jc w:val="both"/>
              <w:rPr>
                <w:rFonts w:cs="Times New Roman"/>
                <w:color w:val="000000" w:themeColor="text1"/>
                <w:szCs w:val="24"/>
              </w:rPr>
            </w:pPr>
          </w:p>
        </w:tc>
        <w:tc>
          <w:tcPr>
            <w:tcW w:w="3969" w:type="dxa"/>
          </w:tcPr>
          <w:p w:rsidR="0091524D" w:rsidRPr="00F87AD8" w:rsidRDefault="00844B2D" w:rsidP="00AA5468">
            <w:pPr>
              <w:pStyle w:val="Text3"/>
              <w:snapToGrid w:val="0"/>
              <w:spacing w:after="0"/>
              <w:ind w:left="0"/>
              <w:rPr>
                <w:szCs w:val="24"/>
                <w:lang w:val="lt-LT"/>
              </w:rPr>
            </w:pPr>
            <w:r w:rsidRPr="00F87AD8">
              <w:rPr>
                <w:szCs w:val="24"/>
              </w:rPr>
              <w:t xml:space="preserve">Kai </w:t>
            </w:r>
            <w:proofErr w:type="spellStart"/>
            <w:r w:rsidRPr="00F87AD8">
              <w:rPr>
                <w:szCs w:val="24"/>
              </w:rPr>
              <w:t>paramos</w:t>
            </w:r>
            <w:proofErr w:type="spellEnd"/>
            <w:r w:rsidRPr="00F87AD8">
              <w:rPr>
                <w:szCs w:val="24"/>
              </w:rPr>
              <w:t xml:space="preserve"> </w:t>
            </w:r>
            <w:proofErr w:type="spellStart"/>
            <w:r w:rsidRPr="00F87AD8">
              <w:rPr>
                <w:szCs w:val="24"/>
              </w:rPr>
              <w:t>gavėjas</w:t>
            </w:r>
            <w:proofErr w:type="spellEnd"/>
            <w:r w:rsidRPr="00F87AD8">
              <w:rPr>
                <w:szCs w:val="24"/>
              </w:rPr>
              <w:t xml:space="preserve"> </w:t>
            </w:r>
            <w:proofErr w:type="spellStart"/>
            <w:r w:rsidRPr="00F87AD8">
              <w:rPr>
                <w:szCs w:val="24"/>
              </w:rPr>
              <w:t>ar</w:t>
            </w:r>
            <w:proofErr w:type="spellEnd"/>
            <w:r w:rsidRPr="00F87AD8">
              <w:rPr>
                <w:szCs w:val="24"/>
              </w:rPr>
              <w:t xml:space="preserve"> </w:t>
            </w:r>
            <w:proofErr w:type="spellStart"/>
            <w:r w:rsidRPr="00F87AD8">
              <w:rPr>
                <w:szCs w:val="24"/>
              </w:rPr>
              <w:t>partneris</w:t>
            </w:r>
            <w:proofErr w:type="spellEnd"/>
            <w:r w:rsidRPr="00F87AD8">
              <w:rPr>
                <w:szCs w:val="24"/>
              </w:rPr>
              <w:t xml:space="preserve"> </w:t>
            </w:r>
            <w:proofErr w:type="spellStart"/>
            <w:r w:rsidRPr="00F87AD8">
              <w:rPr>
                <w:szCs w:val="24"/>
              </w:rPr>
              <w:t>projekto</w:t>
            </w:r>
            <w:proofErr w:type="spellEnd"/>
            <w:r w:rsidRPr="00F87AD8">
              <w:rPr>
                <w:szCs w:val="24"/>
              </w:rPr>
              <w:t xml:space="preserve"> </w:t>
            </w:r>
            <w:proofErr w:type="spellStart"/>
            <w:r w:rsidRPr="00F87AD8">
              <w:rPr>
                <w:szCs w:val="24"/>
              </w:rPr>
              <w:t>įgyvendinimo</w:t>
            </w:r>
            <w:proofErr w:type="spellEnd"/>
            <w:r w:rsidRPr="00F87AD8">
              <w:rPr>
                <w:szCs w:val="24"/>
              </w:rPr>
              <w:t xml:space="preserve"> </w:t>
            </w:r>
            <w:proofErr w:type="spellStart"/>
            <w:r w:rsidRPr="00F87AD8">
              <w:rPr>
                <w:szCs w:val="24"/>
              </w:rPr>
              <w:t>ir</w:t>
            </w:r>
            <w:proofErr w:type="spellEnd"/>
            <w:r w:rsidRPr="00F87AD8">
              <w:rPr>
                <w:szCs w:val="24"/>
              </w:rPr>
              <w:t xml:space="preserve"> (</w:t>
            </w:r>
            <w:proofErr w:type="spellStart"/>
            <w:r w:rsidRPr="00F87AD8">
              <w:rPr>
                <w:szCs w:val="24"/>
              </w:rPr>
              <w:t>arba</w:t>
            </w:r>
            <w:proofErr w:type="spellEnd"/>
            <w:r w:rsidRPr="00F87AD8">
              <w:rPr>
                <w:szCs w:val="24"/>
              </w:rPr>
              <w:t xml:space="preserve">) </w:t>
            </w:r>
            <w:proofErr w:type="spellStart"/>
            <w:r w:rsidRPr="00F87AD8">
              <w:rPr>
                <w:szCs w:val="24"/>
              </w:rPr>
              <w:t>kontrolės</w:t>
            </w:r>
            <w:proofErr w:type="spellEnd"/>
            <w:r w:rsidRPr="00F87AD8">
              <w:rPr>
                <w:szCs w:val="24"/>
              </w:rPr>
              <w:t xml:space="preserve"> </w:t>
            </w:r>
            <w:proofErr w:type="spellStart"/>
            <w:r w:rsidRPr="00F87AD8">
              <w:rPr>
                <w:szCs w:val="24"/>
              </w:rPr>
              <w:t>laikotarpiu</w:t>
            </w:r>
            <w:proofErr w:type="spellEnd"/>
            <w:r w:rsidRPr="00F87AD8">
              <w:rPr>
                <w:szCs w:val="24"/>
              </w:rPr>
              <w:t xml:space="preserve"> </w:t>
            </w:r>
            <w:proofErr w:type="spellStart"/>
            <w:r w:rsidRPr="00F87AD8">
              <w:rPr>
                <w:szCs w:val="24"/>
              </w:rPr>
              <w:t>pakeičia</w:t>
            </w:r>
            <w:proofErr w:type="spellEnd"/>
            <w:r w:rsidRPr="00F87AD8">
              <w:rPr>
                <w:szCs w:val="24"/>
              </w:rPr>
              <w:t xml:space="preserve"> </w:t>
            </w:r>
            <w:proofErr w:type="spellStart"/>
            <w:r w:rsidRPr="00F87AD8">
              <w:rPr>
                <w:szCs w:val="24"/>
              </w:rPr>
              <w:t>remiamos</w:t>
            </w:r>
            <w:proofErr w:type="spellEnd"/>
            <w:r w:rsidRPr="00F87AD8">
              <w:rPr>
                <w:szCs w:val="24"/>
              </w:rPr>
              <w:t xml:space="preserve"> </w:t>
            </w:r>
            <w:proofErr w:type="spellStart"/>
            <w:r w:rsidRPr="00F87AD8">
              <w:rPr>
                <w:szCs w:val="24"/>
              </w:rPr>
              <w:t>veiklos</w:t>
            </w:r>
            <w:proofErr w:type="spellEnd"/>
            <w:r w:rsidRPr="00F87AD8">
              <w:rPr>
                <w:szCs w:val="24"/>
              </w:rPr>
              <w:t xml:space="preserve"> </w:t>
            </w:r>
            <w:proofErr w:type="spellStart"/>
            <w:r w:rsidRPr="00F87AD8">
              <w:rPr>
                <w:szCs w:val="24"/>
              </w:rPr>
              <w:t>pobūdį</w:t>
            </w:r>
            <w:proofErr w:type="spellEnd"/>
            <w:r w:rsidRPr="00F87AD8">
              <w:rPr>
                <w:szCs w:val="24"/>
              </w:rPr>
              <w:t xml:space="preserve">, </w:t>
            </w:r>
            <w:proofErr w:type="spellStart"/>
            <w:r w:rsidRPr="00F87AD8">
              <w:rPr>
                <w:szCs w:val="24"/>
              </w:rPr>
              <w:t>tikslus</w:t>
            </w:r>
            <w:proofErr w:type="spellEnd"/>
            <w:r w:rsidRPr="00F87AD8">
              <w:rPr>
                <w:szCs w:val="24"/>
              </w:rPr>
              <w:t xml:space="preserve"> </w:t>
            </w:r>
            <w:proofErr w:type="spellStart"/>
            <w:r w:rsidRPr="00F87AD8">
              <w:rPr>
                <w:szCs w:val="24"/>
              </w:rPr>
              <w:t>ar</w:t>
            </w:r>
            <w:proofErr w:type="spellEnd"/>
            <w:r w:rsidRPr="00F87AD8">
              <w:rPr>
                <w:szCs w:val="24"/>
              </w:rPr>
              <w:t xml:space="preserve"> </w:t>
            </w:r>
            <w:proofErr w:type="spellStart"/>
            <w:r w:rsidRPr="00F87AD8">
              <w:rPr>
                <w:szCs w:val="24"/>
              </w:rPr>
              <w:t>įgyvendinimo</w:t>
            </w:r>
            <w:proofErr w:type="spellEnd"/>
            <w:r w:rsidRPr="00F87AD8">
              <w:rPr>
                <w:szCs w:val="24"/>
              </w:rPr>
              <w:t xml:space="preserve"> </w:t>
            </w:r>
            <w:proofErr w:type="spellStart"/>
            <w:r w:rsidRPr="00F87AD8">
              <w:rPr>
                <w:szCs w:val="24"/>
              </w:rPr>
              <w:t>sąlygas</w:t>
            </w:r>
            <w:proofErr w:type="spellEnd"/>
            <w:r w:rsidRPr="00F87AD8">
              <w:rPr>
                <w:szCs w:val="24"/>
              </w:rPr>
              <w:t xml:space="preserve">, </w:t>
            </w:r>
            <w:proofErr w:type="spellStart"/>
            <w:r w:rsidRPr="00F87AD8">
              <w:rPr>
                <w:szCs w:val="24"/>
              </w:rPr>
              <w:t>kai</w:t>
            </w:r>
            <w:proofErr w:type="spellEnd"/>
            <w:r w:rsidRPr="00F87AD8">
              <w:rPr>
                <w:szCs w:val="24"/>
              </w:rPr>
              <w:t xml:space="preserve"> </w:t>
            </w:r>
            <w:proofErr w:type="spellStart"/>
            <w:r w:rsidRPr="00F87AD8">
              <w:rPr>
                <w:szCs w:val="24"/>
              </w:rPr>
              <w:t>tokie</w:t>
            </w:r>
            <w:proofErr w:type="spellEnd"/>
            <w:r w:rsidRPr="00F87AD8">
              <w:rPr>
                <w:szCs w:val="24"/>
              </w:rPr>
              <w:t xml:space="preserve"> </w:t>
            </w:r>
            <w:proofErr w:type="spellStart"/>
            <w:r w:rsidRPr="00F87AD8">
              <w:rPr>
                <w:szCs w:val="24"/>
              </w:rPr>
              <w:t>veiksmai</w:t>
            </w:r>
            <w:proofErr w:type="spellEnd"/>
            <w:r w:rsidRPr="00F87AD8">
              <w:rPr>
                <w:szCs w:val="24"/>
              </w:rPr>
              <w:t xml:space="preserve"> </w:t>
            </w:r>
            <w:proofErr w:type="spellStart"/>
            <w:r w:rsidRPr="00F87AD8">
              <w:rPr>
                <w:szCs w:val="24"/>
              </w:rPr>
              <w:t>pakenkia</w:t>
            </w:r>
            <w:proofErr w:type="spellEnd"/>
            <w:r w:rsidRPr="00F87AD8">
              <w:rPr>
                <w:szCs w:val="24"/>
              </w:rPr>
              <w:t xml:space="preserve"> </w:t>
            </w:r>
            <w:proofErr w:type="spellStart"/>
            <w:r w:rsidRPr="00F87AD8">
              <w:rPr>
                <w:szCs w:val="24"/>
              </w:rPr>
              <w:t>pradiniams</w:t>
            </w:r>
            <w:proofErr w:type="spellEnd"/>
            <w:r w:rsidRPr="00F87AD8">
              <w:rPr>
                <w:szCs w:val="24"/>
              </w:rPr>
              <w:t xml:space="preserve"> </w:t>
            </w:r>
            <w:proofErr w:type="spellStart"/>
            <w:r w:rsidRPr="00F87AD8">
              <w:rPr>
                <w:szCs w:val="24"/>
              </w:rPr>
              <w:t>projekto</w:t>
            </w:r>
            <w:proofErr w:type="spellEnd"/>
            <w:r w:rsidRPr="00F87AD8">
              <w:rPr>
                <w:szCs w:val="24"/>
              </w:rPr>
              <w:t xml:space="preserve"> </w:t>
            </w:r>
            <w:proofErr w:type="spellStart"/>
            <w:proofErr w:type="gramStart"/>
            <w:r w:rsidRPr="00F87AD8">
              <w:rPr>
                <w:szCs w:val="24"/>
              </w:rPr>
              <w:t>tikslams</w:t>
            </w:r>
            <w:proofErr w:type="spellEnd"/>
            <w:r w:rsidRPr="00F87AD8">
              <w:rPr>
                <w:szCs w:val="24"/>
              </w:rPr>
              <w:t>;</w:t>
            </w:r>
            <w:proofErr w:type="gramEnd"/>
            <w:r w:rsidRPr="00F87AD8">
              <w:rPr>
                <w:szCs w:val="24"/>
              </w:rPr>
              <w:t xml:space="preserve"> </w:t>
            </w:r>
            <w:proofErr w:type="spellStart"/>
            <w:r w:rsidRPr="00F87AD8">
              <w:rPr>
                <w:szCs w:val="24"/>
              </w:rPr>
              <w:t>nutraukia</w:t>
            </w:r>
            <w:proofErr w:type="spellEnd"/>
            <w:r w:rsidRPr="00F87AD8">
              <w:rPr>
                <w:szCs w:val="24"/>
              </w:rPr>
              <w:t xml:space="preserve"> </w:t>
            </w:r>
            <w:proofErr w:type="spellStart"/>
            <w:r w:rsidRPr="00F87AD8">
              <w:rPr>
                <w:szCs w:val="24"/>
              </w:rPr>
              <w:t>projekte</w:t>
            </w:r>
            <w:proofErr w:type="spellEnd"/>
            <w:r w:rsidRPr="00F87AD8">
              <w:rPr>
                <w:szCs w:val="24"/>
              </w:rPr>
              <w:t xml:space="preserve"> </w:t>
            </w:r>
            <w:proofErr w:type="spellStart"/>
            <w:r w:rsidRPr="00F87AD8">
              <w:rPr>
                <w:szCs w:val="24"/>
              </w:rPr>
              <w:t>numatytą</w:t>
            </w:r>
            <w:proofErr w:type="spellEnd"/>
            <w:r w:rsidRPr="00F87AD8">
              <w:rPr>
                <w:szCs w:val="24"/>
              </w:rPr>
              <w:t xml:space="preserve"> </w:t>
            </w:r>
            <w:proofErr w:type="spellStart"/>
            <w:r w:rsidRPr="00F87AD8">
              <w:rPr>
                <w:szCs w:val="24"/>
              </w:rPr>
              <w:t>veiklą</w:t>
            </w:r>
            <w:proofErr w:type="spellEnd"/>
            <w:r w:rsidRPr="00F87AD8">
              <w:rPr>
                <w:szCs w:val="24"/>
              </w:rPr>
              <w:t xml:space="preserve"> </w:t>
            </w:r>
            <w:proofErr w:type="spellStart"/>
            <w:r w:rsidRPr="00F87AD8">
              <w:rPr>
                <w:szCs w:val="24"/>
              </w:rPr>
              <w:t>ar</w:t>
            </w:r>
            <w:proofErr w:type="spellEnd"/>
            <w:r w:rsidRPr="00F87AD8">
              <w:rPr>
                <w:szCs w:val="24"/>
              </w:rPr>
              <w:t xml:space="preserve"> </w:t>
            </w:r>
            <w:proofErr w:type="spellStart"/>
            <w:r w:rsidRPr="00F87AD8">
              <w:rPr>
                <w:szCs w:val="24"/>
              </w:rPr>
              <w:t>ją</w:t>
            </w:r>
            <w:proofErr w:type="spellEnd"/>
            <w:r w:rsidRPr="00F87AD8">
              <w:rPr>
                <w:szCs w:val="24"/>
              </w:rPr>
              <w:t xml:space="preserve"> </w:t>
            </w:r>
            <w:proofErr w:type="spellStart"/>
            <w:r w:rsidRPr="00F87AD8">
              <w:rPr>
                <w:szCs w:val="24"/>
              </w:rPr>
              <w:t>perkelia</w:t>
            </w:r>
            <w:proofErr w:type="spellEnd"/>
            <w:r w:rsidRPr="00F87AD8">
              <w:rPr>
                <w:szCs w:val="24"/>
              </w:rPr>
              <w:t xml:space="preserve"> </w:t>
            </w:r>
            <w:proofErr w:type="spellStart"/>
            <w:r w:rsidRPr="00F87AD8">
              <w:rPr>
                <w:szCs w:val="24"/>
              </w:rPr>
              <w:t>už</w:t>
            </w:r>
            <w:proofErr w:type="spellEnd"/>
            <w:r w:rsidRPr="00F87AD8">
              <w:rPr>
                <w:szCs w:val="24"/>
              </w:rPr>
              <w:t xml:space="preserve"> </w:t>
            </w:r>
            <w:proofErr w:type="spellStart"/>
            <w:r w:rsidR="008E4815">
              <w:rPr>
                <w:szCs w:val="24"/>
                <w:lang w:val="lt-LT"/>
              </w:rPr>
              <w:t>pr</w:t>
            </w:r>
            <w:r w:rsidRPr="00F87AD8">
              <w:rPr>
                <w:szCs w:val="24"/>
              </w:rPr>
              <w:t>ogramos</w:t>
            </w:r>
            <w:proofErr w:type="spellEnd"/>
            <w:r w:rsidRPr="00F87AD8">
              <w:rPr>
                <w:szCs w:val="24"/>
              </w:rPr>
              <w:t xml:space="preserve"> </w:t>
            </w:r>
            <w:proofErr w:type="spellStart"/>
            <w:r w:rsidRPr="00F87AD8">
              <w:rPr>
                <w:szCs w:val="24"/>
              </w:rPr>
              <w:t>įgyvendinimo</w:t>
            </w:r>
            <w:proofErr w:type="spellEnd"/>
            <w:r w:rsidRPr="00F87AD8">
              <w:rPr>
                <w:szCs w:val="24"/>
              </w:rPr>
              <w:t xml:space="preserve"> </w:t>
            </w:r>
            <w:proofErr w:type="spellStart"/>
            <w:r w:rsidRPr="00F87AD8">
              <w:rPr>
                <w:szCs w:val="24"/>
              </w:rPr>
              <w:t>teritorijos</w:t>
            </w:r>
            <w:proofErr w:type="spellEnd"/>
            <w:r w:rsidRPr="00F87AD8">
              <w:rPr>
                <w:szCs w:val="24"/>
              </w:rPr>
              <w:t xml:space="preserve"> </w:t>
            </w:r>
            <w:proofErr w:type="spellStart"/>
            <w:r w:rsidRPr="00F87AD8">
              <w:rPr>
                <w:szCs w:val="24"/>
              </w:rPr>
              <w:t>ribų</w:t>
            </w:r>
            <w:proofErr w:type="spellEnd"/>
            <w:r w:rsidRPr="00F87AD8">
              <w:rPr>
                <w:szCs w:val="24"/>
              </w:rPr>
              <w:t xml:space="preserve">; </w:t>
            </w:r>
            <w:r w:rsidRPr="0061322E">
              <w:rPr>
                <w:color w:val="000000"/>
                <w:szCs w:val="24"/>
                <w:lang w:val="lt-LT"/>
              </w:rPr>
              <w:t>parduoda ar kitaip perleidžia turtą, įsigytą iš paramos lėšų</w:t>
            </w:r>
            <w:r w:rsidR="008E4815">
              <w:rPr>
                <w:color w:val="000000"/>
                <w:szCs w:val="24"/>
                <w:lang w:val="lt-LT"/>
              </w:rPr>
              <w:t xml:space="preserve"> </w:t>
            </w:r>
            <w:r w:rsidRPr="00F87AD8">
              <w:rPr>
                <w:szCs w:val="24"/>
                <w:lang w:val="lt-LT"/>
              </w:rPr>
              <w:t xml:space="preserve">– </w:t>
            </w:r>
            <w:r w:rsidRPr="00F87AD8">
              <w:rPr>
                <w:bCs/>
                <w:szCs w:val="24"/>
                <w:lang w:val="lt-LT"/>
              </w:rPr>
              <w:t>p</w:t>
            </w:r>
            <w:r w:rsidR="002B2096" w:rsidRPr="00F87AD8">
              <w:rPr>
                <w:bCs/>
                <w:szCs w:val="24"/>
                <w:lang w:val="lt-LT"/>
              </w:rPr>
              <w:t>aramos susigrąžinimas</w:t>
            </w:r>
            <w:r w:rsidR="008E4815">
              <w:rPr>
                <w:bCs/>
                <w:szCs w:val="24"/>
                <w:lang w:val="lt-LT"/>
              </w:rPr>
              <w:t>,</w:t>
            </w:r>
            <w:r w:rsidR="002B2096" w:rsidRPr="00F87AD8">
              <w:rPr>
                <w:bCs/>
                <w:szCs w:val="24"/>
                <w:lang w:val="lt-LT"/>
              </w:rPr>
              <w:t xml:space="preserve"> lygus skirtos paramos už parduotą </w:t>
            </w:r>
            <w:r w:rsidR="001301A2" w:rsidRPr="00F87AD8">
              <w:rPr>
                <w:bCs/>
                <w:szCs w:val="24"/>
                <w:lang w:val="lt-LT"/>
              </w:rPr>
              <w:t xml:space="preserve">ar kitaip perleistą, perduotą </w:t>
            </w:r>
            <w:r w:rsidR="002B2096" w:rsidRPr="00F87AD8">
              <w:rPr>
                <w:bCs/>
                <w:szCs w:val="24"/>
                <w:lang w:val="lt-LT"/>
              </w:rPr>
              <w:t>turtą vertei</w:t>
            </w:r>
            <w:r w:rsidR="008E4815">
              <w:rPr>
                <w:bCs/>
                <w:szCs w:val="24"/>
                <w:lang w:val="lt-LT"/>
              </w:rPr>
              <w:t>,</w:t>
            </w:r>
            <w:r w:rsidR="002B2096" w:rsidRPr="00F87AD8">
              <w:rPr>
                <w:bCs/>
                <w:szCs w:val="24"/>
                <w:lang w:val="lt-LT"/>
              </w:rPr>
              <w:t xml:space="preserve"> arba 100</w:t>
            </w:r>
            <w:r w:rsidR="008E4815">
              <w:rPr>
                <w:bCs/>
                <w:szCs w:val="24"/>
                <w:lang w:val="lt-LT"/>
              </w:rPr>
              <w:t> </w:t>
            </w:r>
            <w:r w:rsidR="002B2096" w:rsidRPr="00F87AD8">
              <w:rPr>
                <w:bCs/>
                <w:szCs w:val="24"/>
                <w:lang w:val="lt-LT"/>
              </w:rPr>
              <w:t xml:space="preserve">proc. </w:t>
            </w:r>
            <w:r w:rsidR="002B2096" w:rsidRPr="00F87AD8">
              <w:rPr>
                <w:szCs w:val="24"/>
                <w:lang w:val="lt-LT"/>
              </w:rPr>
              <w:t>nuo</w:t>
            </w:r>
            <w:r w:rsidR="002B2096" w:rsidRPr="00F87AD8">
              <w:rPr>
                <w:bCs/>
                <w:szCs w:val="24"/>
                <w:lang w:val="lt-LT"/>
              </w:rPr>
              <w:t xml:space="preserve"> </w:t>
            </w:r>
            <w:r w:rsidR="002B2096" w:rsidRPr="00F87AD8">
              <w:rPr>
                <w:szCs w:val="24"/>
                <w:lang w:val="lt-LT"/>
              </w:rPr>
              <w:t>išmokėtos paramos sumos.</w:t>
            </w:r>
          </w:p>
          <w:p w:rsidR="00844B2D" w:rsidRPr="00F87AD8" w:rsidRDefault="00844B2D">
            <w:pPr>
              <w:pStyle w:val="Text3"/>
              <w:snapToGrid w:val="0"/>
              <w:spacing w:after="0"/>
              <w:ind w:left="0"/>
              <w:rPr>
                <w:bCs/>
                <w:szCs w:val="24"/>
                <w:lang w:val="lt-LT"/>
              </w:rPr>
            </w:pPr>
            <w:r w:rsidRPr="00F87AD8">
              <w:rPr>
                <w:szCs w:val="24"/>
              </w:rPr>
              <w:t xml:space="preserve">Kai </w:t>
            </w:r>
            <w:proofErr w:type="spellStart"/>
            <w:r w:rsidRPr="00F87AD8">
              <w:rPr>
                <w:szCs w:val="24"/>
              </w:rPr>
              <w:t>paramos</w:t>
            </w:r>
            <w:proofErr w:type="spellEnd"/>
            <w:r w:rsidRPr="00F87AD8">
              <w:rPr>
                <w:szCs w:val="24"/>
              </w:rPr>
              <w:t xml:space="preserve"> </w:t>
            </w:r>
            <w:proofErr w:type="spellStart"/>
            <w:r w:rsidRPr="00F87AD8">
              <w:rPr>
                <w:szCs w:val="24"/>
              </w:rPr>
              <w:t>gavėjas</w:t>
            </w:r>
            <w:proofErr w:type="spellEnd"/>
            <w:r w:rsidRPr="00F87AD8">
              <w:rPr>
                <w:szCs w:val="24"/>
              </w:rPr>
              <w:t xml:space="preserve"> </w:t>
            </w:r>
            <w:proofErr w:type="spellStart"/>
            <w:r w:rsidRPr="00F87AD8">
              <w:rPr>
                <w:szCs w:val="24"/>
              </w:rPr>
              <w:t>projekto</w:t>
            </w:r>
            <w:proofErr w:type="spellEnd"/>
            <w:r w:rsidRPr="00F87AD8">
              <w:rPr>
                <w:szCs w:val="24"/>
              </w:rPr>
              <w:t xml:space="preserve"> </w:t>
            </w:r>
            <w:r w:rsidR="001301A2" w:rsidRPr="0061322E">
              <w:rPr>
                <w:szCs w:val="24"/>
                <w:lang w:val="lt-LT"/>
              </w:rPr>
              <w:t xml:space="preserve">įgyvendinimo ir (arba) </w:t>
            </w:r>
            <w:proofErr w:type="spellStart"/>
            <w:r w:rsidRPr="00F87AD8">
              <w:rPr>
                <w:szCs w:val="24"/>
              </w:rPr>
              <w:t>kontrolės</w:t>
            </w:r>
            <w:proofErr w:type="spellEnd"/>
            <w:r w:rsidRPr="00F87AD8">
              <w:rPr>
                <w:szCs w:val="24"/>
              </w:rPr>
              <w:t xml:space="preserve"> </w:t>
            </w:r>
            <w:proofErr w:type="spellStart"/>
            <w:r w:rsidRPr="00F87AD8">
              <w:rPr>
                <w:szCs w:val="24"/>
              </w:rPr>
              <w:t>laikotarpiu</w:t>
            </w:r>
            <w:proofErr w:type="spellEnd"/>
            <w:r w:rsidRPr="00F87AD8">
              <w:rPr>
                <w:szCs w:val="24"/>
              </w:rPr>
              <w:t xml:space="preserve"> </w:t>
            </w:r>
            <w:proofErr w:type="spellStart"/>
            <w:r w:rsidRPr="00F87AD8">
              <w:rPr>
                <w:szCs w:val="24"/>
              </w:rPr>
              <w:t>be</w:t>
            </w:r>
            <w:proofErr w:type="spellEnd"/>
            <w:r w:rsidRPr="00F87AD8">
              <w:rPr>
                <w:szCs w:val="24"/>
              </w:rPr>
              <w:t xml:space="preserve"> </w:t>
            </w:r>
            <w:proofErr w:type="spellStart"/>
            <w:r w:rsidRPr="00F87AD8">
              <w:rPr>
                <w:szCs w:val="24"/>
              </w:rPr>
              <w:t>rašytinio</w:t>
            </w:r>
            <w:proofErr w:type="spellEnd"/>
            <w:r w:rsidRPr="00F87AD8">
              <w:rPr>
                <w:szCs w:val="24"/>
              </w:rPr>
              <w:t xml:space="preserve"> </w:t>
            </w:r>
            <w:r w:rsidR="008E4815">
              <w:rPr>
                <w:szCs w:val="24"/>
                <w:lang w:val="lt-LT"/>
              </w:rPr>
              <w:t>NMA</w:t>
            </w:r>
            <w:r w:rsidR="008E4815" w:rsidRPr="00F87AD8">
              <w:rPr>
                <w:szCs w:val="24"/>
              </w:rPr>
              <w:t xml:space="preserve"> </w:t>
            </w:r>
            <w:proofErr w:type="spellStart"/>
            <w:r w:rsidRPr="00F87AD8">
              <w:rPr>
                <w:szCs w:val="24"/>
              </w:rPr>
              <w:t>sutikimo</w:t>
            </w:r>
            <w:proofErr w:type="spellEnd"/>
            <w:r w:rsidRPr="00F87AD8">
              <w:rPr>
                <w:szCs w:val="24"/>
              </w:rPr>
              <w:t xml:space="preserve"> </w:t>
            </w:r>
            <w:proofErr w:type="spellStart"/>
            <w:r w:rsidRPr="00F87AD8">
              <w:rPr>
                <w:szCs w:val="24"/>
              </w:rPr>
              <w:t>įkeičia</w:t>
            </w:r>
            <w:proofErr w:type="spellEnd"/>
            <w:r w:rsidRPr="00F87AD8">
              <w:rPr>
                <w:szCs w:val="24"/>
              </w:rPr>
              <w:t xml:space="preserve"> </w:t>
            </w:r>
            <w:proofErr w:type="spellStart"/>
            <w:r w:rsidRPr="00F87AD8">
              <w:rPr>
                <w:szCs w:val="24"/>
              </w:rPr>
              <w:t>turtą</w:t>
            </w:r>
            <w:proofErr w:type="spellEnd"/>
            <w:r w:rsidRPr="00F87AD8">
              <w:rPr>
                <w:szCs w:val="24"/>
              </w:rPr>
              <w:t xml:space="preserve">, </w:t>
            </w:r>
            <w:proofErr w:type="spellStart"/>
            <w:r w:rsidRPr="00F87AD8">
              <w:rPr>
                <w:szCs w:val="24"/>
              </w:rPr>
              <w:t>kuriam</w:t>
            </w:r>
            <w:proofErr w:type="spellEnd"/>
            <w:r w:rsidRPr="00F87AD8">
              <w:rPr>
                <w:szCs w:val="24"/>
              </w:rPr>
              <w:t xml:space="preserve"> </w:t>
            </w:r>
            <w:proofErr w:type="spellStart"/>
            <w:r w:rsidRPr="00F87AD8">
              <w:rPr>
                <w:szCs w:val="24"/>
              </w:rPr>
              <w:t>įsigyti</w:t>
            </w:r>
            <w:proofErr w:type="spellEnd"/>
            <w:r w:rsidRPr="00F87AD8">
              <w:rPr>
                <w:szCs w:val="24"/>
              </w:rPr>
              <w:t xml:space="preserve"> </w:t>
            </w:r>
            <w:proofErr w:type="spellStart"/>
            <w:r w:rsidRPr="00F87AD8">
              <w:rPr>
                <w:szCs w:val="24"/>
              </w:rPr>
              <w:t>buvo</w:t>
            </w:r>
            <w:proofErr w:type="spellEnd"/>
            <w:r w:rsidRPr="00F87AD8">
              <w:rPr>
                <w:szCs w:val="24"/>
              </w:rPr>
              <w:t xml:space="preserve"> </w:t>
            </w:r>
            <w:proofErr w:type="spellStart"/>
            <w:r w:rsidRPr="00F87AD8">
              <w:rPr>
                <w:szCs w:val="24"/>
              </w:rPr>
              <w:t>suteikta</w:t>
            </w:r>
            <w:proofErr w:type="spellEnd"/>
            <w:r w:rsidRPr="00F87AD8">
              <w:rPr>
                <w:szCs w:val="24"/>
              </w:rPr>
              <w:t xml:space="preserve"> </w:t>
            </w:r>
            <w:proofErr w:type="spellStart"/>
            <w:r w:rsidRPr="00F87AD8">
              <w:rPr>
                <w:szCs w:val="24"/>
              </w:rPr>
              <w:t>parama</w:t>
            </w:r>
            <w:proofErr w:type="spellEnd"/>
            <w:r w:rsidR="008E4815">
              <w:rPr>
                <w:szCs w:val="24"/>
                <w:lang w:val="lt-LT"/>
              </w:rPr>
              <w:t xml:space="preserve">, </w:t>
            </w:r>
            <w:r w:rsidRPr="00F87AD8">
              <w:rPr>
                <w:szCs w:val="24"/>
                <w:lang w:val="lt-LT"/>
              </w:rPr>
              <w:t xml:space="preserve">– </w:t>
            </w:r>
            <w:r w:rsidRPr="0061322E">
              <w:rPr>
                <w:bCs/>
                <w:szCs w:val="24"/>
                <w:lang w:val="lt-LT"/>
              </w:rPr>
              <w:t>paramos sumažinim</w:t>
            </w:r>
            <w:r w:rsidR="008E4815">
              <w:rPr>
                <w:bCs/>
                <w:szCs w:val="24"/>
                <w:lang w:val="lt-LT"/>
              </w:rPr>
              <w:t>o</w:t>
            </w:r>
            <w:r w:rsidRPr="0061322E">
              <w:rPr>
                <w:bCs/>
                <w:szCs w:val="24"/>
                <w:lang w:val="lt-LT"/>
              </w:rPr>
              <w:t xml:space="preserve"> ir (arba) susigrąžinim</w:t>
            </w:r>
            <w:r w:rsidR="008E4815">
              <w:rPr>
                <w:bCs/>
                <w:szCs w:val="24"/>
                <w:lang w:val="lt-LT"/>
              </w:rPr>
              <w:t>o</w:t>
            </w:r>
            <w:r w:rsidR="00E80FE6" w:rsidRPr="0061322E">
              <w:rPr>
                <w:bCs/>
                <w:szCs w:val="24"/>
                <w:lang w:val="lt-LT"/>
              </w:rPr>
              <w:t xml:space="preserve"> </w:t>
            </w:r>
            <w:r w:rsidRPr="0061322E">
              <w:rPr>
                <w:bCs/>
                <w:szCs w:val="24"/>
                <w:lang w:val="lt-LT"/>
              </w:rPr>
              <w:t xml:space="preserve">0,5–100 proc. </w:t>
            </w:r>
            <w:r w:rsidRPr="0061322E">
              <w:rPr>
                <w:szCs w:val="24"/>
                <w:lang w:val="lt-LT"/>
              </w:rPr>
              <w:t>nuo</w:t>
            </w:r>
            <w:r w:rsidRPr="0061322E">
              <w:rPr>
                <w:bCs/>
                <w:szCs w:val="24"/>
                <w:lang w:val="lt-LT"/>
              </w:rPr>
              <w:t xml:space="preserve"> </w:t>
            </w:r>
            <w:r w:rsidRPr="0061322E">
              <w:rPr>
                <w:szCs w:val="24"/>
                <w:lang w:val="lt-LT"/>
              </w:rPr>
              <w:t>investicijos</w:t>
            </w:r>
            <w:r w:rsidR="008E4815">
              <w:rPr>
                <w:szCs w:val="24"/>
                <w:lang w:val="lt-LT"/>
              </w:rPr>
              <w:t xml:space="preserve"> sankcija</w:t>
            </w:r>
            <w:r w:rsidRPr="00F87AD8">
              <w:rPr>
                <w:szCs w:val="24"/>
                <w:lang w:val="lt-LT"/>
              </w:rPr>
              <w:t>, bet ne mažiau nei 100,01 Eur.</w:t>
            </w:r>
          </w:p>
        </w:tc>
        <w:tc>
          <w:tcPr>
            <w:tcW w:w="2977" w:type="dxa"/>
          </w:tcPr>
          <w:p w:rsidR="0091524D" w:rsidRPr="00F87AD8" w:rsidRDefault="00B247BE" w:rsidP="00DE1068">
            <w:pPr>
              <w:jc w:val="both"/>
              <w:rPr>
                <w:rFonts w:cs="Times New Roman"/>
                <w:color w:val="000000" w:themeColor="text1"/>
                <w:szCs w:val="24"/>
              </w:rPr>
            </w:pPr>
            <w:r>
              <w:rPr>
                <w:rFonts w:cs="Times New Roman"/>
                <w:color w:val="000000" w:themeColor="text1"/>
                <w:szCs w:val="24"/>
              </w:rPr>
              <w:t>M</w:t>
            </w:r>
            <w:r w:rsidR="00E15C3B" w:rsidRPr="00F87AD8">
              <w:rPr>
                <w:rFonts w:cs="Times New Roman"/>
                <w:color w:val="000000" w:themeColor="text1"/>
                <w:szCs w:val="24"/>
              </w:rPr>
              <w:t xml:space="preserve">etodika </w:t>
            </w:r>
          </w:p>
        </w:tc>
      </w:tr>
      <w:tr w:rsidR="00445165" w:rsidRPr="00F87AD8" w:rsidTr="0061322E">
        <w:tc>
          <w:tcPr>
            <w:tcW w:w="7933" w:type="dxa"/>
          </w:tcPr>
          <w:p w:rsidR="00445165" w:rsidRPr="00F87AD8" w:rsidRDefault="008073D8" w:rsidP="00DE1068">
            <w:pPr>
              <w:jc w:val="both"/>
              <w:rPr>
                <w:rFonts w:eastAsia="Calibri" w:cs="Times New Roman"/>
                <w:szCs w:val="24"/>
                <w:lang w:eastAsia="lt-LT"/>
              </w:rPr>
            </w:pPr>
            <w:r w:rsidRPr="00F87AD8">
              <w:rPr>
                <w:rFonts w:cs="Times New Roman"/>
                <w:szCs w:val="24"/>
              </w:rPr>
              <w:t>Pastatų, statinių ir (arba) patalpų nuomos ar kito teisėto naudojimosi jais sutartis neįregistruota Nekilnojamojo turto registre (jei toks reikalavimas nustatytas Įgyvendinimo taisyklėse)</w:t>
            </w:r>
          </w:p>
        </w:tc>
        <w:tc>
          <w:tcPr>
            <w:tcW w:w="3969" w:type="dxa"/>
          </w:tcPr>
          <w:p w:rsidR="00445165" w:rsidRPr="00F87AD8" w:rsidRDefault="008073D8" w:rsidP="008073D8">
            <w:pPr>
              <w:widowControl w:val="0"/>
              <w:tabs>
                <w:tab w:val="left" w:pos="2302"/>
              </w:tabs>
              <w:snapToGrid w:val="0"/>
              <w:rPr>
                <w:rFonts w:cs="Times New Roman"/>
                <w:szCs w:val="24"/>
              </w:rPr>
            </w:pPr>
            <w:r w:rsidRPr="00F87AD8">
              <w:rPr>
                <w:rFonts w:cs="Times New Roman"/>
                <w:bCs/>
                <w:szCs w:val="24"/>
                <w:lang w:eastAsia="ar-SA"/>
              </w:rPr>
              <w:t>Paramos sumažinim</w:t>
            </w:r>
            <w:r w:rsidR="008E4815">
              <w:rPr>
                <w:rFonts w:cs="Times New Roman"/>
                <w:bCs/>
                <w:szCs w:val="24"/>
                <w:lang w:eastAsia="ar-SA"/>
              </w:rPr>
              <w:t>o</w:t>
            </w:r>
            <w:r w:rsidRPr="00F87AD8">
              <w:rPr>
                <w:rFonts w:cs="Times New Roman"/>
                <w:bCs/>
                <w:szCs w:val="24"/>
                <w:lang w:eastAsia="ar-SA"/>
              </w:rPr>
              <w:t xml:space="preserve"> ir (arba) susigrąžinim</w:t>
            </w:r>
            <w:r w:rsidR="008E4815">
              <w:rPr>
                <w:rFonts w:cs="Times New Roman"/>
                <w:bCs/>
                <w:szCs w:val="24"/>
                <w:lang w:eastAsia="ar-SA"/>
              </w:rPr>
              <w:t>o</w:t>
            </w:r>
            <w:r w:rsidRPr="00F87AD8">
              <w:rPr>
                <w:rFonts w:cs="Times New Roman"/>
                <w:bCs/>
                <w:szCs w:val="24"/>
                <w:lang w:eastAsia="ar-SA"/>
              </w:rPr>
              <w:t xml:space="preserve"> 0,5 proc. </w:t>
            </w:r>
            <w:r w:rsidRPr="00F87AD8">
              <w:rPr>
                <w:rFonts w:cs="Times New Roman"/>
                <w:szCs w:val="24"/>
                <w:lang w:eastAsia="ar-SA"/>
              </w:rPr>
              <w:t>nuo</w:t>
            </w:r>
            <w:r w:rsidRPr="00F87AD8">
              <w:rPr>
                <w:rFonts w:cs="Times New Roman"/>
                <w:bCs/>
                <w:szCs w:val="24"/>
                <w:lang w:eastAsia="ar-SA"/>
              </w:rPr>
              <w:t xml:space="preserve"> </w:t>
            </w:r>
            <w:r w:rsidRPr="00F87AD8">
              <w:rPr>
                <w:rFonts w:cs="Times New Roman"/>
                <w:szCs w:val="24"/>
                <w:lang w:eastAsia="ar-SA"/>
              </w:rPr>
              <w:t>investicijos</w:t>
            </w:r>
            <w:r w:rsidR="008E4815">
              <w:rPr>
                <w:rFonts w:cs="Times New Roman"/>
                <w:szCs w:val="24"/>
                <w:lang w:eastAsia="ar-SA"/>
              </w:rPr>
              <w:t xml:space="preserve"> sankcija</w:t>
            </w:r>
            <w:r w:rsidRPr="00F87AD8">
              <w:rPr>
                <w:rFonts w:cs="Times New Roman"/>
                <w:szCs w:val="24"/>
                <w:lang w:eastAsia="ar-SA"/>
              </w:rPr>
              <w:t>, bet ne mažiau nei 100,01 Eur</w:t>
            </w:r>
            <w:r w:rsidR="008E4815">
              <w:rPr>
                <w:rFonts w:cs="Times New Roman"/>
                <w:szCs w:val="24"/>
                <w:lang w:eastAsia="ar-SA"/>
              </w:rPr>
              <w:t>.</w:t>
            </w:r>
          </w:p>
        </w:tc>
        <w:tc>
          <w:tcPr>
            <w:tcW w:w="2977" w:type="dxa"/>
          </w:tcPr>
          <w:p w:rsidR="00445165" w:rsidRPr="00F87AD8" w:rsidRDefault="00B247BE" w:rsidP="00DE1068">
            <w:pPr>
              <w:jc w:val="both"/>
              <w:rPr>
                <w:rFonts w:cs="Times New Roman"/>
                <w:color w:val="000000" w:themeColor="text1"/>
                <w:szCs w:val="24"/>
              </w:rPr>
            </w:pPr>
            <w:r>
              <w:rPr>
                <w:rFonts w:cs="Times New Roman"/>
                <w:color w:val="000000" w:themeColor="text1"/>
                <w:szCs w:val="24"/>
              </w:rPr>
              <w:t>M</w:t>
            </w:r>
            <w:r w:rsidR="008073D8" w:rsidRPr="00F87AD8">
              <w:rPr>
                <w:rFonts w:cs="Times New Roman"/>
                <w:color w:val="000000" w:themeColor="text1"/>
                <w:szCs w:val="24"/>
              </w:rPr>
              <w:t xml:space="preserve">etodika </w:t>
            </w:r>
          </w:p>
        </w:tc>
      </w:tr>
      <w:tr w:rsidR="0091524D" w:rsidRPr="00F87AD8" w:rsidTr="0061322E">
        <w:tc>
          <w:tcPr>
            <w:tcW w:w="7933" w:type="dxa"/>
          </w:tcPr>
          <w:p w:rsidR="0091524D" w:rsidRPr="00F87AD8" w:rsidRDefault="00A31468" w:rsidP="00461C26">
            <w:pPr>
              <w:jc w:val="both"/>
              <w:rPr>
                <w:rFonts w:cs="Times New Roman"/>
                <w:color w:val="000000" w:themeColor="text1"/>
                <w:szCs w:val="24"/>
              </w:rPr>
            </w:pPr>
            <w:r w:rsidRPr="00F87AD8">
              <w:rPr>
                <w:rFonts w:cs="Times New Roman"/>
                <w:color w:val="000000"/>
                <w:szCs w:val="24"/>
                <w:shd w:val="clear" w:color="auto" w:fill="FFFFFF"/>
              </w:rPr>
              <w:t>Sudaryti sąlygas asmenims, įskaitant nepriklausomus ekspertus, turintiems teisę audituoti</w:t>
            </w:r>
            <w:r w:rsidR="00461C26" w:rsidRPr="00F87AD8">
              <w:rPr>
                <w:rFonts w:cs="Times New Roman"/>
                <w:color w:val="000000"/>
                <w:szCs w:val="24"/>
                <w:shd w:val="clear" w:color="auto" w:fill="FFFFFF"/>
              </w:rPr>
              <w:t xml:space="preserve"> ir</w:t>
            </w:r>
            <w:r w:rsidRPr="00F87AD8">
              <w:rPr>
                <w:rFonts w:cs="Times New Roman"/>
                <w:color w:val="000000"/>
                <w:szCs w:val="24"/>
                <w:shd w:val="clear" w:color="auto" w:fill="FFFFFF"/>
              </w:rPr>
              <w:t xml:space="preserve"> kontroliuoti, tikrinti, kaip yra </w:t>
            </w:r>
            <w:r w:rsidR="0073774A" w:rsidRPr="00F87AD8">
              <w:rPr>
                <w:rFonts w:eastAsia="Calibri" w:cs="Times New Roman"/>
                <w:szCs w:val="24"/>
                <w:lang w:eastAsia="lt-LT"/>
              </w:rPr>
              <w:t xml:space="preserve">laikomasi paramos gavimo sąlygų, kaip yra vykdomas projektas ir veikla, kuriai buvo skirta parama, </w:t>
            </w:r>
            <w:r w:rsidRPr="00F87AD8">
              <w:rPr>
                <w:rFonts w:cs="Times New Roman"/>
                <w:color w:val="000000"/>
                <w:szCs w:val="24"/>
                <w:shd w:val="clear" w:color="auto" w:fill="FFFFFF"/>
              </w:rPr>
              <w:t>po paramos sutarties pasirašymo iki projekto kontrolės laikotarpio pabaigos.</w:t>
            </w:r>
          </w:p>
        </w:tc>
        <w:tc>
          <w:tcPr>
            <w:tcW w:w="3969" w:type="dxa"/>
          </w:tcPr>
          <w:p w:rsidR="002B2096" w:rsidRPr="00F87AD8" w:rsidRDefault="002B2096" w:rsidP="002B2096">
            <w:pPr>
              <w:pStyle w:val="Text3"/>
              <w:snapToGrid w:val="0"/>
              <w:spacing w:after="0"/>
              <w:ind w:left="0"/>
              <w:jc w:val="left"/>
              <w:rPr>
                <w:szCs w:val="24"/>
                <w:lang w:val="lt-LT"/>
              </w:rPr>
            </w:pPr>
            <w:r w:rsidRPr="00F87AD8">
              <w:rPr>
                <w:szCs w:val="24"/>
                <w:lang w:val="lt-LT"/>
              </w:rPr>
              <w:t>Paramos neskyrim</w:t>
            </w:r>
            <w:r w:rsidR="008E4815">
              <w:rPr>
                <w:szCs w:val="24"/>
                <w:lang w:val="lt-LT"/>
              </w:rPr>
              <w:t>o</w:t>
            </w:r>
            <w:r w:rsidRPr="00F87AD8">
              <w:rPr>
                <w:szCs w:val="24"/>
                <w:lang w:val="lt-LT"/>
              </w:rPr>
              <w:t xml:space="preserve"> arba susigrąžinim</w:t>
            </w:r>
            <w:r w:rsidR="008E4815">
              <w:rPr>
                <w:szCs w:val="24"/>
                <w:lang w:val="lt-LT"/>
              </w:rPr>
              <w:t>o</w:t>
            </w:r>
            <w:r w:rsidRPr="00F87AD8">
              <w:rPr>
                <w:szCs w:val="24"/>
                <w:lang w:val="lt-LT"/>
              </w:rPr>
              <w:t xml:space="preserve"> 100 proc. </w:t>
            </w:r>
            <w:r w:rsidR="008E4815">
              <w:rPr>
                <w:szCs w:val="24"/>
                <w:lang w:val="lt-LT"/>
              </w:rPr>
              <w:t>sankcija.</w:t>
            </w:r>
          </w:p>
          <w:p w:rsidR="0091524D" w:rsidRPr="00F87AD8" w:rsidRDefault="0091524D" w:rsidP="00DE1068">
            <w:pPr>
              <w:jc w:val="both"/>
              <w:rPr>
                <w:rFonts w:cs="Times New Roman"/>
                <w:color w:val="000000" w:themeColor="text1"/>
                <w:szCs w:val="24"/>
              </w:rPr>
            </w:pPr>
          </w:p>
        </w:tc>
        <w:tc>
          <w:tcPr>
            <w:tcW w:w="2977" w:type="dxa"/>
          </w:tcPr>
          <w:p w:rsidR="0091524D" w:rsidRPr="00F87AD8" w:rsidRDefault="00B247BE" w:rsidP="00DE1068">
            <w:pPr>
              <w:jc w:val="both"/>
              <w:rPr>
                <w:rFonts w:cs="Times New Roman"/>
                <w:color w:val="000000" w:themeColor="text1"/>
                <w:szCs w:val="24"/>
              </w:rPr>
            </w:pPr>
            <w:r>
              <w:rPr>
                <w:rFonts w:cs="Times New Roman"/>
                <w:color w:val="000000" w:themeColor="text1"/>
                <w:szCs w:val="24"/>
              </w:rPr>
              <w:t>M</w:t>
            </w:r>
            <w:r w:rsidR="00E15C3B" w:rsidRPr="00F87AD8">
              <w:rPr>
                <w:rFonts w:cs="Times New Roman"/>
                <w:color w:val="000000" w:themeColor="text1"/>
                <w:szCs w:val="24"/>
              </w:rPr>
              <w:t xml:space="preserve">etodika </w:t>
            </w:r>
          </w:p>
        </w:tc>
      </w:tr>
      <w:tr w:rsidR="0091524D" w:rsidRPr="00F87AD8" w:rsidTr="0061322E">
        <w:tc>
          <w:tcPr>
            <w:tcW w:w="7933" w:type="dxa"/>
          </w:tcPr>
          <w:p w:rsidR="0091524D" w:rsidRPr="00F87AD8" w:rsidRDefault="00725DA8" w:rsidP="00DE1068">
            <w:pPr>
              <w:jc w:val="both"/>
              <w:rPr>
                <w:rFonts w:cs="Times New Roman"/>
                <w:color w:val="000000" w:themeColor="text1"/>
                <w:szCs w:val="24"/>
              </w:rPr>
            </w:pPr>
            <w:r w:rsidRPr="00F87AD8">
              <w:rPr>
                <w:rFonts w:cs="Times New Roman"/>
                <w:color w:val="000000"/>
                <w:szCs w:val="24"/>
              </w:rPr>
              <w:t>Teikti informaciją ir duomenis, reikalingus statistikos tikslams ir programos įgyvendinimo stebėsenai bei reikalingiems vertinimams atlikti</w:t>
            </w:r>
            <w:r w:rsidR="009D3A1D" w:rsidRPr="00F87AD8">
              <w:rPr>
                <w:rFonts w:cs="Times New Roman"/>
                <w:color w:val="000000"/>
                <w:szCs w:val="24"/>
              </w:rPr>
              <w:t>.</w:t>
            </w:r>
          </w:p>
        </w:tc>
        <w:tc>
          <w:tcPr>
            <w:tcW w:w="3969" w:type="dxa"/>
          </w:tcPr>
          <w:p w:rsidR="0091524D" w:rsidRPr="00F87AD8" w:rsidRDefault="003E41E4" w:rsidP="00DE1068">
            <w:pPr>
              <w:jc w:val="both"/>
              <w:rPr>
                <w:rFonts w:cs="Times New Roman"/>
                <w:color w:val="000000" w:themeColor="text1"/>
                <w:szCs w:val="24"/>
              </w:rPr>
            </w:pPr>
            <w:r w:rsidRPr="00F87AD8">
              <w:rPr>
                <w:rFonts w:cs="Times New Roman"/>
                <w:szCs w:val="24"/>
              </w:rPr>
              <w:t>Paramos sumažinim</w:t>
            </w:r>
            <w:r w:rsidR="00A2357C">
              <w:rPr>
                <w:rFonts w:cs="Times New Roman"/>
                <w:szCs w:val="24"/>
              </w:rPr>
              <w:t>o</w:t>
            </w:r>
            <w:r w:rsidRPr="00F87AD8">
              <w:rPr>
                <w:rFonts w:cs="Times New Roman"/>
                <w:szCs w:val="24"/>
              </w:rPr>
              <w:t xml:space="preserve"> </w:t>
            </w:r>
            <w:r w:rsidRPr="00F87AD8">
              <w:rPr>
                <w:rFonts w:cs="Times New Roman"/>
                <w:bCs/>
                <w:szCs w:val="24"/>
              </w:rPr>
              <w:t>ir (arba)</w:t>
            </w:r>
            <w:r w:rsidRPr="00F87AD8">
              <w:rPr>
                <w:rFonts w:cs="Times New Roman"/>
                <w:szCs w:val="24"/>
              </w:rPr>
              <w:t xml:space="preserve"> susigrąžinim</w:t>
            </w:r>
            <w:r w:rsidR="00A2357C">
              <w:rPr>
                <w:rFonts w:cs="Times New Roman"/>
                <w:szCs w:val="24"/>
              </w:rPr>
              <w:t>o</w:t>
            </w:r>
            <w:r w:rsidRPr="00F87AD8">
              <w:rPr>
                <w:rFonts w:cs="Times New Roman"/>
                <w:szCs w:val="24"/>
              </w:rPr>
              <w:t xml:space="preserve"> (projekto ar kontrolės laikotarpiu) 0,5–100 proc. nuo </w:t>
            </w:r>
            <w:r w:rsidRPr="00F87AD8">
              <w:rPr>
                <w:rFonts w:cs="Times New Roman"/>
                <w:szCs w:val="24"/>
              </w:rPr>
              <w:lastRenderedPageBreak/>
              <w:t>išmokėtos paramos sumos</w:t>
            </w:r>
            <w:r w:rsidR="00A2357C">
              <w:rPr>
                <w:rFonts w:cs="Times New Roman"/>
                <w:szCs w:val="24"/>
              </w:rPr>
              <w:t xml:space="preserve"> sankcija</w:t>
            </w:r>
            <w:r w:rsidRPr="00F87AD8">
              <w:rPr>
                <w:rFonts w:cs="Times New Roman"/>
                <w:szCs w:val="24"/>
              </w:rPr>
              <w:t>, bet ne mažiau nei 100,01 Eur.</w:t>
            </w:r>
          </w:p>
        </w:tc>
        <w:tc>
          <w:tcPr>
            <w:tcW w:w="2977" w:type="dxa"/>
          </w:tcPr>
          <w:p w:rsidR="0091524D" w:rsidRPr="00F87AD8" w:rsidRDefault="00B247BE" w:rsidP="00DE1068">
            <w:pPr>
              <w:jc w:val="both"/>
              <w:rPr>
                <w:rFonts w:cs="Times New Roman"/>
                <w:color w:val="000000" w:themeColor="text1"/>
                <w:szCs w:val="24"/>
              </w:rPr>
            </w:pPr>
            <w:r>
              <w:rPr>
                <w:rFonts w:cs="Times New Roman"/>
                <w:color w:val="000000" w:themeColor="text1"/>
                <w:szCs w:val="24"/>
              </w:rPr>
              <w:lastRenderedPageBreak/>
              <w:t>M</w:t>
            </w:r>
            <w:r w:rsidR="00E15C3B" w:rsidRPr="00F87AD8">
              <w:rPr>
                <w:rFonts w:cs="Times New Roman"/>
                <w:color w:val="000000" w:themeColor="text1"/>
                <w:szCs w:val="24"/>
              </w:rPr>
              <w:t xml:space="preserve">etodika </w:t>
            </w:r>
          </w:p>
        </w:tc>
      </w:tr>
      <w:tr w:rsidR="0091524D" w:rsidRPr="00F87AD8" w:rsidTr="0061322E">
        <w:tc>
          <w:tcPr>
            <w:tcW w:w="7933" w:type="dxa"/>
          </w:tcPr>
          <w:p w:rsidR="0091524D" w:rsidRPr="00F87AD8" w:rsidRDefault="00725DA8" w:rsidP="009D3A1D">
            <w:pPr>
              <w:tabs>
                <w:tab w:val="left" w:pos="601"/>
              </w:tabs>
              <w:ind w:right="-57"/>
              <w:jc w:val="both"/>
              <w:rPr>
                <w:rFonts w:cs="Times New Roman"/>
                <w:color w:val="000000" w:themeColor="text1"/>
                <w:szCs w:val="24"/>
              </w:rPr>
            </w:pPr>
            <w:r w:rsidRPr="00F87AD8">
              <w:rPr>
                <w:rFonts w:cs="Times New Roman"/>
                <w:szCs w:val="24"/>
              </w:rPr>
              <w:t xml:space="preserve">Viešinti paramą </w:t>
            </w:r>
            <w:r w:rsidRPr="00F87AD8">
              <w:rPr>
                <w:rFonts w:cs="Times New Roman"/>
                <w:color w:val="000000"/>
                <w:szCs w:val="24"/>
              </w:rPr>
              <w:t xml:space="preserve">Suteiktos paramos pagal Lietuvos žuvininkystės sektoriaus 2014–2020 metų veiksmų programą viešinimo taisyklėse, patvirtintose Lietuvos Respublikos žemės ūkio ministro 2016 m. vasario 25 d. įsakymu Nr. 3D-89 „Dėl Suteiktos paramos pagal Lietuvos žuvininkystės sektoriaus 2014–2020 metų veiksmų programą viešinimo taisyklių patvirtinimo“, </w:t>
            </w:r>
            <w:r w:rsidRPr="00F87AD8">
              <w:rPr>
                <w:rFonts w:cs="Times New Roman"/>
                <w:szCs w:val="24"/>
              </w:rPr>
              <w:t>nustatyta tvarka</w:t>
            </w:r>
            <w:r w:rsidR="009D3A1D" w:rsidRPr="00F87AD8">
              <w:rPr>
                <w:rFonts w:cs="Times New Roman"/>
                <w:szCs w:val="24"/>
              </w:rPr>
              <w:t>.</w:t>
            </w:r>
          </w:p>
        </w:tc>
        <w:tc>
          <w:tcPr>
            <w:tcW w:w="3969" w:type="dxa"/>
          </w:tcPr>
          <w:p w:rsidR="0091524D" w:rsidRPr="00F87AD8" w:rsidRDefault="009B59C7" w:rsidP="0061322E">
            <w:pPr>
              <w:pStyle w:val="Text3"/>
              <w:snapToGrid w:val="0"/>
              <w:spacing w:after="0"/>
              <w:ind w:left="0"/>
              <w:rPr>
                <w:szCs w:val="24"/>
                <w:lang w:val="lt-LT"/>
              </w:rPr>
            </w:pPr>
            <w:r w:rsidRPr="0061322E">
              <w:rPr>
                <w:szCs w:val="24"/>
                <w:lang w:val="lt-LT"/>
              </w:rPr>
              <w:t>Paramos teikimo sustabdym</w:t>
            </w:r>
            <w:r w:rsidR="00A2357C">
              <w:rPr>
                <w:szCs w:val="24"/>
                <w:lang w:val="lt-LT"/>
              </w:rPr>
              <w:t>o</w:t>
            </w:r>
            <w:r w:rsidRPr="0061322E">
              <w:rPr>
                <w:szCs w:val="24"/>
                <w:lang w:val="lt-LT"/>
              </w:rPr>
              <w:t xml:space="preserve"> arba paramos sumažinim</w:t>
            </w:r>
            <w:r w:rsidR="00A2357C">
              <w:rPr>
                <w:szCs w:val="24"/>
                <w:lang w:val="lt-LT"/>
              </w:rPr>
              <w:t>o</w:t>
            </w:r>
            <w:r w:rsidRPr="0061322E">
              <w:rPr>
                <w:szCs w:val="24"/>
                <w:lang w:val="lt-LT"/>
              </w:rPr>
              <w:t xml:space="preserve"> (projekto įgyvendinimo laikotarpiu) 1 proc. nuo skirtos paramos sumos arba paramos susigrąžinim</w:t>
            </w:r>
            <w:r w:rsidR="00A2357C">
              <w:rPr>
                <w:szCs w:val="24"/>
                <w:lang w:val="lt-LT"/>
              </w:rPr>
              <w:t>o</w:t>
            </w:r>
            <w:r w:rsidRPr="0061322E">
              <w:rPr>
                <w:szCs w:val="24"/>
                <w:lang w:val="lt-LT"/>
              </w:rPr>
              <w:t xml:space="preserve"> (projekto kontrolės laikotarpiu) 0,5 proc. nuo išmokėtos paramos sumos</w:t>
            </w:r>
            <w:r w:rsidR="00A2357C">
              <w:rPr>
                <w:szCs w:val="24"/>
                <w:lang w:val="lt-LT"/>
              </w:rPr>
              <w:t xml:space="preserve"> sankcija</w:t>
            </w:r>
            <w:r w:rsidRPr="0061322E">
              <w:rPr>
                <w:szCs w:val="24"/>
                <w:lang w:val="lt-LT"/>
              </w:rPr>
              <w:t>, bet ne mažiau nei 100,01 Eur.</w:t>
            </w:r>
          </w:p>
        </w:tc>
        <w:tc>
          <w:tcPr>
            <w:tcW w:w="2977" w:type="dxa"/>
            <w:shd w:val="clear" w:color="auto" w:fill="auto"/>
          </w:tcPr>
          <w:p w:rsidR="0091524D" w:rsidRPr="00F87AD8" w:rsidRDefault="00B247BE" w:rsidP="00DE1068">
            <w:pPr>
              <w:jc w:val="both"/>
              <w:rPr>
                <w:rFonts w:cs="Times New Roman"/>
                <w:color w:val="000000" w:themeColor="text1"/>
                <w:szCs w:val="24"/>
              </w:rPr>
            </w:pPr>
            <w:r>
              <w:rPr>
                <w:rFonts w:cs="Times New Roman"/>
                <w:color w:val="000000" w:themeColor="text1"/>
                <w:szCs w:val="24"/>
              </w:rPr>
              <w:t>M</w:t>
            </w:r>
            <w:r w:rsidR="009D3A1D" w:rsidRPr="00F87AD8">
              <w:rPr>
                <w:rFonts w:cs="Times New Roman"/>
                <w:color w:val="000000" w:themeColor="text1"/>
                <w:szCs w:val="24"/>
              </w:rPr>
              <w:t xml:space="preserve">etodika </w:t>
            </w:r>
          </w:p>
        </w:tc>
      </w:tr>
      <w:tr w:rsidR="0091524D" w:rsidRPr="00F87AD8" w:rsidTr="0061322E">
        <w:tc>
          <w:tcPr>
            <w:tcW w:w="7933" w:type="dxa"/>
          </w:tcPr>
          <w:p w:rsidR="0091524D" w:rsidRPr="00F87AD8" w:rsidRDefault="009B59C7" w:rsidP="009D3A1D">
            <w:pPr>
              <w:tabs>
                <w:tab w:val="left" w:pos="601"/>
              </w:tabs>
              <w:ind w:right="-57"/>
              <w:jc w:val="both"/>
              <w:rPr>
                <w:rFonts w:cs="Times New Roman"/>
                <w:color w:val="000000" w:themeColor="text1"/>
                <w:szCs w:val="24"/>
              </w:rPr>
            </w:pPr>
            <w:r w:rsidRPr="00F87AD8">
              <w:rPr>
                <w:rFonts w:eastAsia="Calibri" w:cs="Times New Roman"/>
                <w:szCs w:val="24"/>
              </w:rPr>
              <w:t>Jei pareiškėjas yra įmonė – n</w:t>
            </w:r>
            <w:r w:rsidR="00725DA8" w:rsidRPr="00F87AD8">
              <w:rPr>
                <w:rFonts w:cs="Times New Roman"/>
                <w:color w:val="000000"/>
                <w:szCs w:val="24"/>
              </w:rPr>
              <w:t>uo paramos paraiškos pateikimo dienos iki projekto kontrolės laikotarpio pabaigos užtikrinti, kad nebus</w:t>
            </w:r>
            <w:r w:rsidR="00502874" w:rsidRPr="00F87AD8">
              <w:rPr>
                <w:rFonts w:cs="Times New Roman"/>
                <w:color w:val="000000"/>
                <w:szCs w:val="24"/>
              </w:rPr>
              <w:t xml:space="preserve"> </w:t>
            </w:r>
            <w:r w:rsidR="00502874" w:rsidRPr="00F87AD8">
              <w:rPr>
                <w:rFonts w:cs="Times New Roman"/>
                <w:color w:val="000000"/>
                <w:szCs w:val="24"/>
                <w:shd w:val="clear" w:color="auto" w:fill="FFFFFF"/>
              </w:rPr>
              <w:t>neteisėtai sukurtos tokiai paramai gauti reikalingos sąlygos</w:t>
            </w:r>
            <w:r w:rsidR="001E7594" w:rsidRPr="00F87AD8">
              <w:rPr>
                <w:rFonts w:cs="Times New Roman"/>
                <w:color w:val="000000"/>
                <w:szCs w:val="24"/>
                <w:shd w:val="clear" w:color="auto" w:fill="FFFFFF"/>
              </w:rPr>
              <w:t>.</w:t>
            </w:r>
          </w:p>
        </w:tc>
        <w:tc>
          <w:tcPr>
            <w:tcW w:w="3969" w:type="dxa"/>
          </w:tcPr>
          <w:p w:rsidR="0091524D" w:rsidRPr="00F87AD8" w:rsidRDefault="009B59C7">
            <w:pPr>
              <w:jc w:val="both"/>
              <w:rPr>
                <w:rFonts w:cs="Times New Roman"/>
                <w:color w:val="000000" w:themeColor="text1"/>
                <w:szCs w:val="24"/>
              </w:rPr>
            </w:pPr>
            <w:r w:rsidRPr="00F87AD8">
              <w:rPr>
                <w:rFonts w:cs="Times New Roman"/>
                <w:szCs w:val="24"/>
                <w:lang w:eastAsia="ar-SA"/>
              </w:rPr>
              <w:t>Paramos neskyrim</w:t>
            </w:r>
            <w:r w:rsidR="00A2357C">
              <w:rPr>
                <w:rFonts w:cs="Times New Roman"/>
                <w:szCs w:val="24"/>
                <w:lang w:eastAsia="ar-SA"/>
              </w:rPr>
              <w:t>o</w:t>
            </w:r>
            <w:r w:rsidRPr="00F87AD8">
              <w:rPr>
                <w:rFonts w:cs="Times New Roman"/>
                <w:szCs w:val="24"/>
                <w:lang w:eastAsia="ar-SA"/>
              </w:rPr>
              <w:t xml:space="preserve"> arba paramos susigrąžinim</w:t>
            </w:r>
            <w:r w:rsidR="00A2357C">
              <w:rPr>
                <w:rFonts w:cs="Times New Roman"/>
                <w:szCs w:val="24"/>
                <w:lang w:eastAsia="ar-SA"/>
              </w:rPr>
              <w:t>o</w:t>
            </w:r>
            <w:r w:rsidRPr="00F87AD8">
              <w:rPr>
                <w:rFonts w:cs="Times New Roman"/>
                <w:szCs w:val="24"/>
                <w:lang w:eastAsia="ar-SA"/>
              </w:rPr>
              <w:t xml:space="preserve"> 100 proc. nuo išmokėtos paramos sumos</w:t>
            </w:r>
            <w:r w:rsidR="00A2357C">
              <w:rPr>
                <w:rFonts w:cs="Times New Roman"/>
                <w:szCs w:val="24"/>
                <w:lang w:eastAsia="ar-SA"/>
              </w:rPr>
              <w:t xml:space="preserve"> sankcija</w:t>
            </w:r>
            <w:r w:rsidRPr="00F87AD8">
              <w:rPr>
                <w:rFonts w:cs="Times New Roman"/>
                <w:szCs w:val="24"/>
                <w:lang w:eastAsia="ar-SA"/>
              </w:rPr>
              <w:t>, nutraukiant paramos sutartį</w:t>
            </w:r>
            <w:r w:rsidR="00A2357C">
              <w:rPr>
                <w:rFonts w:cs="Times New Roman"/>
                <w:szCs w:val="24"/>
                <w:lang w:eastAsia="ar-SA"/>
              </w:rPr>
              <w:t>.</w:t>
            </w:r>
          </w:p>
        </w:tc>
        <w:tc>
          <w:tcPr>
            <w:tcW w:w="2977" w:type="dxa"/>
          </w:tcPr>
          <w:p w:rsidR="0091524D" w:rsidRPr="00F87AD8" w:rsidRDefault="00B247BE" w:rsidP="00DE1068">
            <w:pPr>
              <w:jc w:val="both"/>
              <w:rPr>
                <w:rFonts w:cs="Times New Roman"/>
                <w:color w:val="000000" w:themeColor="text1"/>
                <w:szCs w:val="24"/>
              </w:rPr>
            </w:pPr>
            <w:r>
              <w:rPr>
                <w:rFonts w:cs="Times New Roman"/>
                <w:color w:val="000000" w:themeColor="text1"/>
                <w:szCs w:val="24"/>
              </w:rPr>
              <w:t>M</w:t>
            </w:r>
            <w:r w:rsidR="00E15C3B" w:rsidRPr="00F87AD8">
              <w:rPr>
                <w:rFonts w:cs="Times New Roman"/>
                <w:color w:val="000000" w:themeColor="text1"/>
                <w:szCs w:val="24"/>
              </w:rPr>
              <w:t xml:space="preserve">etodika </w:t>
            </w:r>
          </w:p>
        </w:tc>
      </w:tr>
      <w:tr w:rsidR="0091524D" w:rsidRPr="00F87AD8" w:rsidTr="0061322E">
        <w:tc>
          <w:tcPr>
            <w:tcW w:w="7933" w:type="dxa"/>
          </w:tcPr>
          <w:p w:rsidR="0091524D" w:rsidRPr="00F87AD8" w:rsidRDefault="00725DA8" w:rsidP="009D3A1D">
            <w:pPr>
              <w:tabs>
                <w:tab w:val="left" w:pos="601"/>
              </w:tabs>
              <w:ind w:right="-57"/>
              <w:jc w:val="both"/>
              <w:rPr>
                <w:rFonts w:cs="Times New Roman"/>
                <w:color w:val="000000" w:themeColor="text1"/>
                <w:szCs w:val="24"/>
              </w:rPr>
            </w:pPr>
            <w:r w:rsidRPr="00F87AD8">
              <w:rPr>
                <w:rFonts w:cs="Times New Roman"/>
                <w:color w:val="000000"/>
                <w:szCs w:val="24"/>
              </w:rPr>
              <w:t xml:space="preserve">Užtikrinti, kad įsigytos investicijos įgyvendinus projektą atitiks </w:t>
            </w:r>
            <w:r w:rsidR="00AA020E" w:rsidRPr="00F87AD8">
              <w:rPr>
                <w:rFonts w:eastAsia="Calibri" w:cs="Times New Roman"/>
                <w:szCs w:val="24"/>
                <w:lang w:eastAsia="lt-LT"/>
              </w:rPr>
              <w:t xml:space="preserve">Valstybinės maisto ir veterinarijos tarnybos kontroliuojamus teisės aktų reikalavimus, kai investicijoms yra taikomi tokie reikalavimai. </w:t>
            </w:r>
          </w:p>
        </w:tc>
        <w:tc>
          <w:tcPr>
            <w:tcW w:w="3969" w:type="dxa"/>
          </w:tcPr>
          <w:p w:rsidR="0091524D" w:rsidRPr="00F87AD8" w:rsidRDefault="00DD4ED9" w:rsidP="00DE1068">
            <w:pPr>
              <w:tabs>
                <w:tab w:val="left" w:pos="2302"/>
              </w:tabs>
              <w:suppressAutoHyphens/>
              <w:snapToGrid w:val="0"/>
              <w:jc w:val="both"/>
              <w:rPr>
                <w:rFonts w:cs="Times New Roman"/>
                <w:color w:val="000000" w:themeColor="text1"/>
                <w:szCs w:val="24"/>
                <w:lang w:eastAsia="ar-SA"/>
              </w:rPr>
            </w:pPr>
            <w:r w:rsidRPr="00F87AD8">
              <w:rPr>
                <w:rFonts w:cs="Times New Roman"/>
                <w:color w:val="000000"/>
                <w:szCs w:val="24"/>
              </w:rPr>
              <w:t>Sankcijos dydis priklauso nuo nustatyto pažeidimo pobūdžio, masto bei sunkumo</w:t>
            </w:r>
            <w:r w:rsidR="009D3A1D" w:rsidRPr="00F87AD8">
              <w:rPr>
                <w:rFonts w:cs="Times New Roman"/>
                <w:color w:val="000000"/>
                <w:szCs w:val="24"/>
              </w:rPr>
              <w:t>.</w:t>
            </w:r>
          </w:p>
        </w:tc>
        <w:tc>
          <w:tcPr>
            <w:tcW w:w="2977" w:type="dxa"/>
          </w:tcPr>
          <w:p w:rsidR="0091524D" w:rsidRPr="00F87AD8" w:rsidRDefault="00B247BE" w:rsidP="00DE1068">
            <w:pPr>
              <w:jc w:val="both"/>
              <w:rPr>
                <w:rFonts w:cs="Times New Roman"/>
                <w:color w:val="000000" w:themeColor="text1"/>
                <w:szCs w:val="24"/>
              </w:rPr>
            </w:pPr>
            <w:r>
              <w:rPr>
                <w:rFonts w:cs="Times New Roman"/>
                <w:color w:val="000000" w:themeColor="text1"/>
                <w:szCs w:val="24"/>
              </w:rPr>
              <w:t>M</w:t>
            </w:r>
            <w:r w:rsidR="00E15C3B" w:rsidRPr="00F87AD8">
              <w:rPr>
                <w:rFonts w:cs="Times New Roman"/>
                <w:color w:val="000000" w:themeColor="text1"/>
                <w:szCs w:val="24"/>
              </w:rPr>
              <w:t xml:space="preserve">etodika </w:t>
            </w:r>
          </w:p>
        </w:tc>
      </w:tr>
      <w:tr w:rsidR="00A31468" w:rsidRPr="00F87AD8" w:rsidTr="0061322E">
        <w:tc>
          <w:tcPr>
            <w:tcW w:w="7933" w:type="dxa"/>
          </w:tcPr>
          <w:p w:rsidR="00A31468" w:rsidRPr="00F87AD8" w:rsidRDefault="00670689" w:rsidP="00A31468">
            <w:pPr>
              <w:tabs>
                <w:tab w:val="left" w:pos="601"/>
              </w:tabs>
              <w:ind w:right="-57"/>
              <w:jc w:val="both"/>
              <w:rPr>
                <w:rFonts w:cs="Times New Roman"/>
                <w:color w:val="000000"/>
                <w:szCs w:val="24"/>
              </w:rPr>
            </w:pPr>
            <w:r w:rsidRPr="00F87AD8">
              <w:rPr>
                <w:rFonts w:eastAsia="Calibri" w:cs="Times New Roman"/>
                <w:szCs w:val="24"/>
              </w:rPr>
              <w:t>Visą projekto įgyvendinimo ir kontrolės laikotarpį nepadaryti veikų, nurodytų Reglamento (ES) Nr. 508/2014 10 straipsnio 1 dalies a–c punktuose (taikoma tik</w:t>
            </w:r>
            <w:r w:rsidR="00A2357C">
              <w:rPr>
                <w:rFonts w:eastAsia="Calibri" w:cs="Times New Roman"/>
                <w:szCs w:val="24"/>
              </w:rPr>
              <w:t>,</w:t>
            </w:r>
            <w:r w:rsidRPr="00F87AD8">
              <w:rPr>
                <w:rFonts w:eastAsia="Calibri" w:cs="Times New Roman"/>
                <w:szCs w:val="24"/>
              </w:rPr>
              <w:t xml:space="preserve"> jei pareiškėjas yra įmonė) ir Reglamento (ES) Nr. 508/2014 10 straipsnio 3 dalyje.</w:t>
            </w:r>
          </w:p>
        </w:tc>
        <w:tc>
          <w:tcPr>
            <w:tcW w:w="3969" w:type="dxa"/>
          </w:tcPr>
          <w:p w:rsidR="00A31468" w:rsidRPr="00F87AD8" w:rsidRDefault="00A31468" w:rsidP="00A31468">
            <w:pPr>
              <w:tabs>
                <w:tab w:val="left" w:pos="2302"/>
              </w:tabs>
              <w:suppressAutoHyphens/>
              <w:snapToGrid w:val="0"/>
              <w:jc w:val="both"/>
              <w:rPr>
                <w:rFonts w:cs="Times New Roman"/>
                <w:color w:val="000000"/>
                <w:szCs w:val="24"/>
              </w:rPr>
            </w:pPr>
            <w:r w:rsidRPr="00F87AD8">
              <w:rPr>
                <w:rFonts w:cs="Times New Roman"/>
                <w:color w:val="000000"/>
                <w:szCs w:val="24"/>
              </w:rPr>
              <w:t>Sankcijos dydis priklauso nuo nustatyto pažeidimo pobūdžio, masto bei sunkumo.</w:t>
            </w:r>
          </w:p>
        </w:tc>
        <w:tc>
          <w:tcPr>
            <w:tcW w:w="2977" w:type="dxa"/>
          </w:tcPr>
          <w:p w:rsidR="00A31468" w:rsidRPr="00F87AD8" w:rsidRDefault="00B247BE" w:rsidP="00A31468">
            <w:pPr>
              <w:jc w:val="both"/>
              <w:rPr>
                <w:rFonts w:cs="Times New Roman"/>
                <w:color w:val="000000" w:themeColor="text1"/>
                <w:szCs w:val="24"/>
              </w:rPr>
            </w:pPr>
            <w:r>
              <w:rPr>
                <w:rFonts w:cs="Times New Roman"/>
                <w:color w:val="000000" w:themeColor="text1"/>
                <w:szCs w:val="24"/>
              </w:rPr>
              <w:t>M</w:t>
            </w:r>
            <w:r w:rsidR="00A31468" w:rsidRPr="00F87AD8">
              <w:rPr>
                <w:rFonts w:cs="Times New Roman"/>
                <w:color w:val="000000" w:themeColor="text1"/>
                <w:szCs w:val="24"/>
              </w:rPr>
              <w:t xml:space="preserve">etodika </w:t>
            </w:r>
          </w:p>
        </w:tc>
      </w:tr>
      <w:tr w:rsidR="00A31468" w:rsidRPr="00F87AD8" w:rsidTr="0061322E">
        <w:tc>
          <w:tcPr>
            <w:tcW w:w="7933" w:type="dxa"/>
          </w:tcPr>
          <w:p w:rsidR="00A31468" w:rsidRPr="00F87AD8" w:rsidRDefault="00A31468" w:rsidP="00A31468">
            <w:pPr>
              <w:tabs>
                <w:tab w:val="left" w:pos="601"/>
              </w:tabs>
              <w:ind w:right="-57"/>
              <w:jc w:val="both"/>
              <w:rPr>
                <w:rFonts w:cs="Times New Roman"/>
                <w:color w:val="000000" w:themeColor="text1"/>
                <w:spacing w:val="4"/>
                <w:szCs w:val="24"/>
              </w:rPr>
            </w:pPr>
            <w:r w:rsidRPr="00F87AD8">
              <w:rPr>
                <w:rFonts w:cs="Times New Roman"/>
                <w:szCs w:val="24"/>
              </w:rPr>
              <w:t>Iki projekto kontrolės laikotarpio pabaigos saugoti visus dokumentus, susijusius su projekto įgyvendinimu, ir užtikrinti jų prieinamumą Administravimo taisyklėse nustatyta tvarka.</w:t>
            </w:r>
          </w:p>
        </w:tc>
        <w:tc>
          <w:tcPr>
            <w:tcW w:w="3969" w:type="dxa"/>
          </w:tcPr>
          <w:p w:rsidR="00A31468" w:rsidRPr="006704C4" w:rsidRDefault="0032244A" w:rsidP="0061322E">
            <w:pPr>
              <w:widowControl w:val="0"/>
              <w:tabs>
                <w:tab w:val="left" w:pos="2302"/>
              </w:tabs>
              <w:snapToGrid w:val="0"/>
              <w:rPr>
                <w:color w:val="000000" w:themeColor="text1"/>
                <w:szCs w:val="24"/>
              </w:rPr>
            </w:pPr>
            <w:r w:rsidRPr="00F87AD8">
              <w:rPr>
                <w:rFonts w:cs="Times New Roman"/>
                <w:szCs w:val="24"/>
                <w:lang w:eastAsia="ar-SA"/>
              </w:rPr>
              <w:t>Paramos sumažinim</w:t>
            </w:r>
            <w:r w:rsidR="00A2357C">
              <w:rPr>
                <w:rFonts w:cs="Times New Roman"/>
                <w:szCs w:val="24"/>
                <w:lang w:eastAsia="ar-SA"/>
              </w:rPr>
              <w:t>o</w:t>
            </w:r>
            <w:r w:rsidRPr="00F87AD8">
              <w:rPr>
                <w:rFonts w:cs="Times New Roman"/>
                <w:szCs w:val="24"/>
                <w:lang w:eastAsia="ar-SA"/>
              </w:rPr>
              <w:t xml:space="preserve"> ir (arba) paramos susigrąžinim</w:t>
            </w:r>
            <w:r w:rsidR="00A2357C">
              <w:rPr>
                <w:rFonts w:cs="Times New Roman"/>
                <w:szCs w:val="24"/>
                <w:lang w:eastAsia="ar-SA"/>
              </w:rPr>
              <w:t>o</w:t>
            </w:r>
            <w:r w:rsidRPr="00F87AD8">
              <w:rPr>
                <w:rFonts w:cs="Times New Roman"/>
                <w:szCs w:val="24"/>
                <w:lang w:eastAsia="ar-SA"/>
              </w:rPr>
              <w:t xml:space="preserve"> 0,5 proc. nuo išmokėtos paramos sumos</w:t>
            </w:r>
            <w:r w:rsidR="00A2357C">
              <w:rPr>
                <w:rFonts w:cs="Times New Roman"/>
                <w:szCs w:val="24"/>
                <w:lang w:eastAsia="ar-SA"/>
              </w:rPr>
              <w:t xml:space="preserve"> sankcija</w:t>
            </w:r>
            <w:r w:rsidRPr="00F87AD8">
              <w:rPr>
                <w:rFonts w:cs="Times New Roman"/>
                <w:szCs w:val="24"/>
                <w:lang w:eastAsia="ar-SA"/>
              </w:rPr>
              <w:t>, bet ne mažiau nei 100,01 Eur</w:t>
            </w:r>
            <w:r w:rsidR="00A2357C">
              <w:rPr>
                <w:rFonts w:cs="Times New Roman"/>
                <w:szCs w:val="24"/>
                <w:lang w:eastAsia="ar-SA"/>
              </w:rPr>
              <w:t>.</w:t>
            </w:r>
          </w:p>
        </w:tc>
        <w:tc>
          <w:tcPr>
            <w:tcW w:w="2977" w:type="dxa"/>
          </w:tcPr>
          <w:p w:rsidR="00A31468" w:rsidRPr="00F87AD8" w:rsidRDefault="00B247BE" w:rsidP="00A31468">
            <w:pPr>
              <w:jc w:val="both"/>
              <w:rPr>
                <w:rFonts w:cs="Times New Roman"/>
                <w:color w:val="000000" w:themeColor="text1"/>
                <w:szCs w:val="24"/>
              </w:rPr>
            </w:pPr>
            <w:r>
              <w:rPr>
                <w:rFonts w:cs="Times New Roman"/>
                <w:color w:val="000000" w:themeColor="text1"/>
                <w:szCs w:val="24"/>
              </w:rPr>
              <w:t>M</w:t>
            </w:r>
            <w:r w:rsidR="00A31468" w:rsidRPr="00F87AD8">
              <w:rPr>
                <w:rFonts w:cs="Times New Roman"/>
                <w:color w:val="000000" w:themeColor="text1"/>
                <w:szCs w:val="24"/>
              </w:rPr>
              <w:t xml:space="preserve">etodika </w:t>
            </w:r>
          </w:p>
        </w:tc>
      </w:tr>
      <w:tr w:rsidR="00A31468" w:rsidRPr="00F87AD8" w:rsidTr="0061322E">
        <w:tc>
          <w:tcPr>
            <w:tcW w:w="7933" w:type="dxa"/>
          </w:tcPr>
          <w:p w:rsidR="00A31468" w:rsidRPr="00F87AD8" w:rsidRDefault="00A31468" w:rsidP="00A31468">
            <w:pPr>
              <w:tabs>
                <w:tab w:val="left" w:pos="601"/>
              </w:tabs>
              <w:ind w:right="-57"/>
              <w:jc w:val="both"/>
              <w:rPr>
                <w:rFonts w:cs="Times New Roman"/>
                <w:color w:val="000000" w:themeColor="text1"/>
                <w:spacing w:val="4"/>
                <w:szCs w:val="24"/>
              </w:rPr>
            </w:pPr>
            <w:r w:rsidRPr="00F87AD8">
              <w:rPr>
                <w:rFonts w:cs="Times New Roman"/>
                <w:szCs w:val="24"/>
              </w:rPr>
              <w:t>Iki projekto įgyvendinimo pabaigos pasiekti ir iki projekto kontrolės pabaigos išlaikyti paraiškoje prognozuotus projekto priežiūros rodiklius.</w:t>
            </w:r>
          </w:p>
        </w:tc>
        <w:tc>
          <w:tcPr>
            <w:tcW w:w="3969" w:type="dxa"/>
          </w:tcPr>
          <w:p w:rsidR="00A31468" w:rsidRPr="006704C4" w:rsidRDefault="00754E1B" w:rsidP="0061322E">
            <w:pPr>
              <w:widowControl w:val="0"/>
              <w:tabs>
                <w:tab w:val="left" w:pos="34"/>
                <w:tab w:val="left" w:pos="2302"/>
              </w:tabs>
              <w:snapToGrid w:val="0"/>
              <w:jc w:val="both"/>
              <w:rPr>
                <w:color w:val="000000" w:themeColor="text1"/>
                <w:szCs w:val="24"/>
              </w:rPr>
            </w:pPr>
            <w:r w:rsidRPr="00F87AD8">
              <w:rPr>
                <w:rFonts w:cs="Times New Roman"/>
                <w:szCs w:val="24"/>
                <w:lang w:eastAsia="ar-SA"/>
              </w:rPr>
              <w:t>Paramos susigrąžinim</w:t>
            </w:r>
            <w:r w:rsidR="00A2357C">
              <w:rPr>
                <w:rFonts w:cs="Times New Roman"/>
                <w:szCs w:val="24"/>
                <w:lang w:eastAsia="ar-SA"/>
              </w:rPr>
              <w:t>o</w:t>
            </w:r>
            <w:r w:rsidRPr="00F87AD8">
              <w:rPr>
                <w:rFonts w:cs="Times New Roman"/>
                <w:szCs w:val="24"/>
                <w:lang w:eastAsia="ar-SA"/>
              </w:rPr>
              <w:t xml:space="preserve"> 0,5–100 proc. nuo išmokėtos paramos sumos</w:t>
            </w:r>
            <w:r w:rsidR="00A2357C">
              <w:rPr>
                <w:rFonts w:cs="Times New Roman"/>
                <w:szCs w:val="24"/>
                <w:lang w:eastAsia="ar-SA"/>
              </w:rPr>
              <w:t xml:space="preserve"> sankcija</w:t>
            </w:r>
            <w:r w:rsidRPr="00F87AD8">
              <w:rPr>
                <w:rFonts w:cs="Times New Roman"/>
                <w:szCs w:val="24"/>
                <w:lang w:eastAsia="ar-SA"/>
              </w:rPr>
              <w:t>, bet ne mažiau nei 100,01 Eur</w:t>
            </w:r>
            <w:r w:rsidR="00A2357C">
              <w:rPr>
                <w:rFonts w:cs="Times New Roman"/>
                <w:szCs w:val="24"/>
                <w:lang w:eastAsia="ar-SA"/>
              </w:rPr>
              <w:t>.</w:t>
            </w:r>
          </w:p>
        </w:tc>
        <w:tc>
          <w:tcPr>
            <w:tcW w:w="2977" w:type="dxa"/>
          </w:tcPr>
          <w:p w:rsidR="00A31468" w:rsidRPr="00F87AD8" w:rsidRDefault="00B247BE" w:rsidP="00A31468">
            <w:pPr>
              <w:jc w:val="both"/>
              <w:rPr>
                <w:rFonts w:cs="Times New Roman"/>
                <w:color w:val="000000" w:themeColor="text1"/>
                <w:szCs w:val="24"/>
              </w:rPr>
            </w:pPr>
            <w:r>
              <w:rPr>
                <w:rFonts w:cs="Times New Roman"/>
                <w:color w:val="000000" w:themeColor="text1"/>
                <w:szCs w:val="24"/>
              </w:rPr>
              <w:t>M</w:t>
            </w:r>
            <w:r w:rsidR="00A31468" w:rsidRPr="00F87AD8">
              <w:rPr>
                <w:rFonts w:cs="Times New Roman"/>
                <w:color w:val="000000" w:themeColor="text1"/>
                <w:szCs w:val="24"/>
              </w:rPr>
              <w:t xml:space="preserve">etodika </w:t>
            </w:r>
          </w:p>
        </w:tc>
      </w:tr>
      <w:tr w:rsidR="00A31468" w:rsidRPr="00F87AD8" w:rsidTr="0061322E">
        <w:tc>
          <w:tcPr>
            <w:tcW w:w="7933" w:type="dxa"/>
          </w:tcPr>
          <w:p w:rsidR="00A31468" w:rsidRPr="00F87AD8" w:rsidRDefault="009C32FE" w:rsidP="00A31468">
            <w:pPr>
              <w:tabs>
                <w:tab w:val="left" w:pos="601"/>
              </w:tabs>
              <w:ind w:right="-57"/>
              <w:jc w:val="both"/>
              <w:rPr>
                <w:rFonts w:cs="Times New Roman"/>
                <w:color w:val="000000" w:themeColor="text1"/>
                <w:spacing w:val="4"/>
                <w:szCs w:val="24"/>
              </w:rPr>
            </w:pPr>
            <w:r w:rsidRPr="00F87AD8">
              <w:rPr>
                <w:rFonts w:cs="Times New Roman"/>
                <w:szCs w:val="24"/>
              </w:rPr>
              <w:t>Iki projekto kontrolės laikotarpio pabaigos i</w:t>
            </w:r>
            <w:r w:rsidRPr="00F87AD8">
              <w:rPr>
                <w:rFonts w:cs="Times New Roman"/>
                <w:szCs w:val="24"/>
                <w:lang w:eastAsia="ar-SA"/>
              </w:rPr>
              <w:t>šlaikyti projektų pirmumo atrankos kriterijų</w:t>
            </w:r>
            <w:r w:rsidRPr="00F87AD8">
              <w:rPr>
                <w:rFonts w:eastAsia="Calibri" w:cs="Times New Roman"/>
                <w:bCs/>
                <w:szCs w:val="24"/>
              </w:rPr>
              <w:t xml:space="preserve"> </w:t>
            </w:r>
            <w:r w:rsidR="00594AE0" w:rsidRPr="00F87AD8">
              <w:rPr>
                <w:rFonts w:cs="Times New Roman"/>
                <w:szCs w:val="24"/>
              </w:rPr>
              <w:t>(</w:t>
            </w:r>
            <w:r w:rsidR="00A31468" w:rsidRPr="00F87AD8">
              <w:rPr>
                <w:rFonts w:cs="Times New Roman"/>
                <w:szCs w:val="24"/>
              </w:rPr>
              <w:t>taikoma, jei buvo skirti balai už šį kriterijų).</w:t>
            </w:r>
          </w:p>
        </w:tc>
        <w:tc>
          <w:tcPr>
            <w:tcW w:w="3969" w:type="dxa"/>
          </w:tcPr>
          <w:p w:rsidR="00A31468" w:rsidRPr="00F87AD8" w:rsidRDefault="009C32FE" w:rsidP="0061322E">
            <w:pPr>
              <w:widowControl w:val="0"/>
              <w:tabs>
                <w:tab w:val="left" w:pos="2302"/>
              </w:tabs>
              <w:snapToGrid w:val="0"/>
              <w:jc w:val="both"/>
              <w:rPr>
                <w:rFonts w:cs="Times New Roman"/>
                <w:color w:val="000000" w:themeColor="text1"/>
                <w:szCs w:val="24"/>
                <w:lang w:eastAsia="ar-SA"/>
              </w:rPr>
            </w:pPr>
            <w:r w:rsidRPr="00F87AD8">
              <w:rPr>
                <w:rFonts w:cs="Times New Roman"/>
                <w:szCs w:val="24"/>
                <w:lang w:eastAsia="ar-SA"/>
              </w:rPr>
              <w:t>Paramos sumažinim</w:t>
            </w:r>
            <w:r w:rsidR="00A2357C">
              <w:rPr>
                <w:rFonts w:cs="Times New Roman"/>
                <w:szCs w:val="24"/>
                <w:lang w:eastAsia="ar-SA"/>
              </w:rPr>
              <w:t>o</w:t>
            </w:r>
            <w:r w:rsidRPr="00F87AD8">
              <w:rPr>
                <w:rFonts w:cs="Times New Roman"/>
                <w:szCs w:val="24"/>
                <w:lang w:eastAsia="ar-SA"/>
              </w:rPr>
              <w:t xml:space="preserve"> / susigrąžinim</w:t>
            </w:r>
            <w:r w:rsidR="00A2357C">
              <w:rPr>
                <w:rFonts w:cs="Times New Roman"/>
                <w:szCs w:val="24"/>
                <w:lang w:eastAsia="ar-SA"/>
              </w:rPr>
              <w:t>o</w:t>
            </w:r>
            <w:r w:rsidRPr="00F87AD8">
              <w:rPr>
                <w:rFonts w:cs="Times New Roman"/>
                <w:szCs w:val="24"/>
                <w:lang w:eastAsia="ar-SA"/>
              </w:rPr>
              <w:t xml:space="preserve"> 0,5–100 proc. nuo išmokėtos paramos sumos</w:t>
            </w:r>
            <w:r w:rsidR="00A2357C">
              <w:rPr>
                <w:rFonts w:cs="Times New Roman"/>
                <w:szCs w:val="24"/>
                <w:lang w:eastAsia="ar-SA"/>
              </w:rPr>
              <w:t xml:space="preserve"> sankcija</w:t>
            </w:r>
            <w:r w:rsidRPr="00F87AD8">
              <w:rPr>
                <w:rFonts w:cs="Times New Roman"/>
                <w:szCs w:val="24"/>
                <w:lang w:eastAsia="ar-SA"/>
              </w:rPr>
              <w:t>, bet ne mažiau nei 100,01 Eur</w:t>
            </w:r>
            <w:r w:rsidR="00A2357C">
              <w:rPr>
                <w:rFonts w:cs="Times New Roman"/>
                <w:szCs w:val="24"/>
                <w:lang w:eastAsia="ar-SA"/>
              </w:rPr>
              <w:t>.</w:t>
            </w:r>
          </w:p>
        </w:tc>
        <w:tc>
          <w:tcPr>
            <w:tcW w:w="2977" w:type="dxa"/>
          </w:tcPr>
          <w:p w:rsidR="00A31468" w:rsidRPr="00F87AD8" w:rsidRDefault="00B247BE" w:rsidP="00A31468">
            <w:pPr>
              <w:jc w:val="both"/>
              <w:rPr>
                <w:rFonts w:cs="Times New Roman"/>
                <w:color w:val="000000" w:themeColor="text1"/>
                <w:szCs w:val="24"/>
              </w:rPr>
            </w:pPr>
            <w:r>
              <w:rPr>
                <w:rFonts w:cs="Times New Roman"/>
                <w:color w:val="000000" w:themeColor="text1"/>
                <w:szCs w:val="24"/>
              </w:rPr>
              <w:t>M</w:t>
            </w:r>
            <w:r w:rsidR="00A31468" w:rsidRPr="00F87AD8">
              <w:rPr>
                <w:rFonts w:cs="Times New Roman"/>
                <w:color w:val="000000" w:themeColor="text1"/>
                <w:szCs w:val="24"/>
              </w:rPr>
              <w:t xml:space="preserve">etodika </w:t>
            </w:r>
          </w:p>
        </w:tc>
      </w:tr>
      <w:tr w:rsidR="00A31468" w:rsidRPr="00F87AD8" w:rsidTr="0061322E">
        <w:tc>
          <w:tcPr>
            <w:tcW w:w="7933" w:type="dxa"/>
          </w:tcPr>
          <w:p w:rsidR="00A31468" w:rsidRPr="00F87AD8" w:rsidRDefault="005E56F1" w:rsidP="005E56F1">
            <w:pPr>
              <w:tabs>
                <w:tab w:val="left" w:pos="601"/>
              </w:tabs>
              <w:ind w:right="-57"/>
              <w:jc w:val="both"/>
              <w:rPr>
                <w:rFonts w:cs="Times New Roman"/>
                <w:color w:val="000000" w:themeColor="text1"/>
                <w:spacing w:val="4"/>
                <w:szCs w:val="24"/>
              </w:rPr>
            </w:pPr>
            <w:r w:rsidRPr="00F87AD8">
              <w:rPr>
                <w:rFonts w:eastAsia="Calibri" w:cs="Times New Roman"/>
                <w:szCs w:val="24"/>
              </w:rPr>
              <w:t>J</w:t>
            </w:r>
            <w:r w:rsidR="00686B40" w:rsidRPr="00F87AD8">
              <w:rPr>
                <w:rFonts w:eastAsia="Calibri" w:cs="Times New Roman"/>
                <w:szCs w:val="24"/>
              </w:rPr>
              <w:t xml:space="preserve">ei pareiškėjas yra įmonė – </w:t>
            </w:r>
            <w:r w:rsidR="00686B40" w:rsidRPr="00F87AD8">
              <w:rPr>
                <w:rFonts w:eastAsia="Calibri" w:cs="Times New Roman"/>
                <w:szCs w:val="24"/>
                <w:lang w:eastAsia="lt-LT"/>
              </w:rPr>
              <w:t xml:space="preserve">įgyvendinus projektą atitikti </w:t>
            </w:r>
            <w:r w:rsidR="00686B40" w:rsidRPr="00F87AD8">
              <w:rPr>
                <w:rFonts w:eastAsia="Calibri" w:cs="Times New Roman"/>
                <w:szCs w:val="24"/>
              </w:rPr>
              <w:t xml:space="preserve">ekonominį gyvybingumą apibūdinančių rodiklių reikšmes, nustatytas </w:t>
            </w:r>
            <w:r w:rsidR="00686B40" w:rsidRPr="00F87AD8">
              <w:rPr>
                <w:rFonts w:eastAsia="Calibri" w:cs="Times New Roman"/>
                <w:szCs w:val="24"/>
                <w:lang w:eastAsia="lt-LT"/>
              </w:rPr>
              <w:t>Ekonominio gyvybingumo taisyklėse</w:t>
            </w:r>
            <w:r w:rsidR="00A2357C">
              <w:rPr>
                <w:rFonts w:eastAsia="Calibri" w:cs="Times New Roman"/>
                <w:szCs w:val="24"/>
                <w:lang w:eastAsia="lt-LT"/>
              </w:rPr>
              <w:t>.</w:t>
            </w:r>
            <w:r w:rsidR="00686B40" w:rsidRPr="00F87AD8">
              <w:rPr>
                <w:rFonts w:cs="Times New Roman"/>
                <w:szCs w:val="24"/>
              </w:rPr>
              <w:t xml:space="preserve"> </w:t>
            </w:r>
          </w:p>
        </w:tc>
        <w:tc>
          <w:tcPr>
            <w:tcW w:w="3969" w:type="dxa"/>
          </w:tcPr>
          <w:p w:rsidR="00A31468" w:rsidRPr="006704C4" w:rsidRDefault="005E56F1" w:rsidP="0061322E">
            <w:pPr>
              <w:widowControl w:val="0"/>
              <w:tabs>
                <w:tab w:val="left" w:pos="2302"/>
              </w:tabs>
              <w:snapToGrid w:val="0"/>
              <w:rPr>
                <w:szCs w:val="24"/>
              </w:rPr>
            </w:pPr>
            <w:r w:rsidRPr="00F87AD8">
              <w:rPr>
                <w:rFonts w:cs="Times New Roman"/>
                <w:szCs w:val="24"/>
                <w:lang w:eastAsia="ar-SA"/>
              </w:rPr>
              <w:t>Paramos susigrąžinim</w:t>
            </w:r>
            <w:r w:rsidR="00A2357C">
              <w:rPr>
                <w:rFonts w:cs="Times New Roman"/>
                <w:szCs w:val="24"/>
                <w:lang w:eastAsia="ar-SA"/>
              </w:rPr>
              <w:t>o</w:t>
            </w:r>
            <w:r w:rsidRPr="00F87AD8">
              <w:rPr>
                <w:rFonts w:cs="Times New Roman"/>
                <w:szCs w:val="24"/>
                <w:lang w:eastAsia="ar-SA"/>
              </w:rPr>
              <w:t xml:space="preserve"> 0,5 proc. nuo išmokėtos paramos sumos</w:t>
            </w:r>
            <w:r w:rsidR="00A2357C">
              <w:rPr>
                <w:rFonts w:cs="Times New Roman"/>
                <w:szCs w:val="24"/>
                <w:lang w:eastAsia="ar-SA"/>
              </w:rPr>
              <w:t xml:space="preserve"> sankcija</w:t>
            </w:r>
            <w:r w:rsidRPr="00F87AD8">
              <w:rPr>
                <w:rFonts w:cs="Times New Roman"/>
                <w:szCs w:val="24"/>
                <w:lang w:eastAsia="ar-SA"/>
              </w:rPr>
              <w:t>, bet ne mažiau nei 100,01 Eur</w:t>
            </w:r>
            <w:r w:rsidR="00A2357C">
              <w:rPr>
                <w:rFonts w:cs="Times New Roman"/>
                <w:szCs w:val="24"/>
                <w:lang w:eastAsia="ar-SA"/>
              </w:rPr>
              <w:t>.</w:t>
            </w:r>
          </w:p>
        </w:tc>
        <w:tc>
          <w:tcPr>
            <w:tcW w:w="2977" w:type="dxa"/>
          </w:tcPr>
          <w:p w:rsidR="00A31468" w:rsidRPr="00F87AD8" w:rsidRDefault="00AF759A" w:rsidP="00A31468">
            <w:pPr>
              <w:jc w:val="both"/>
              <w:rPr>
                <w:rFonts w:cs="Times New Roman"/>
                <w:color w:val="000000" w:themeColor="text1"/>
                <w:szCs w:val="24"/>
              </w:rPr>
            </w:pPr>
            <w:r>
              <w:rPr>
                <w:rFonts w:cs="Times New Roman"/>
                <w:color w:val="000000" w:themeColor="text1"/>
                <w:szCs w:val="24"/>
              </w:rPr>
              <w:t>M</w:t>
            </w:r>
            <w:r w:rsidR="00A31468" w:rsidRPr="00F87AD8">
              <w:rPr>
                <w:rFonts w:cs="Times New Roman"/>
                <w:color w:val="000000" w:themeColor="text1"/>
                <w:szCs w:val="24"/>
              </w:rPr>
              <w:t xml:space="preserve">etodika </w:t>
            </w:r>
          </w:p>
        </w:tc>
      </w:tr>
      <w:tr w:rsidR="00A31468" w:rsidRPr="00F87AD8" w:rsidTr="0061322E">
        <w:tc>
          <w:tcPr>
            <w:tcW w:w="7933" w:type="dxa"/>
          </w:tcPr>
          <w:p w:rsidR="00A31468" w:rsidRPr="00F87AD8" w:rsidRDefault="00A31468" w:rsidP="00A31468">
            <w:pPr>
              <w:tabs>
                <w:tab w:val="left" w:pos="601"/>
              </w:tabs>
              <w:ind w:right="-57"/>
              <w:jc w:val="both"/>
              <w:rPr>
                <w:rFonts w:eastAsia="Times New Roman" w:cs="Times New Roman"/>
                <w:szCs w:val="24"/>
              </w:rPr>
            </w:pPr>
            <w:r w:rsidRPr="00F87AD8">
              <w:rPr>
                <w:rFonts w:cs="Times New Roman"/>
                <w:szCs w:val="24"/>
              </w:rPr>
              <w:lastRenderedPageBreak/>
              <w:t xml:space="preserve">Laiku ir tinkamai pateikti </w:t>
            </w:r>
            <w:r w:rsidR="00A2357C">
              <w:rPr>
                <w:rFonts w:cs="Times New Roman"/>
                <w:szCs w:val="24"/>
              </w:rPr>
              <w:t>NMA</w:t>
            </w:r>
            <w:r w:rsidR="00A2357C" w:rsidRPr="00F87AD8">
              <w:rPr>
                <w:rFonts w:cs="Times New Roman"/>
                <w:szCs w:val="24"/>
              </w:rPr>
              <w:t xml:space="preserve"> </w:t>
            </w:r>
            <w:r w:rsidRPr="00F87AD8">
              <w:rPr>
                <w:rFonts w:cs="Times New Roman"/>
                <w:szCs w:val="24"/>
              </w:rPr>
              <w:t>visas reikiamas projekto įgyvendinimo ataskaitas. Pateikus galutinį mokėjimo prašymą – galutinę projekto įgyvendinimo ataskaitą, baigus įgyvendinti projektą, 5 (penkerius) metus po galutinio lėšų išmokėjimo dienos per 4 (keturis) mėnesius kiekvieniems kalendoriniams metams pasibaigus – užbaigto projekto metinę ataskaitą.</w:t>
            </w:r>
          </w:p>
        </w:tc>
        <w:tc>
          <w:tcPr>
            <w:tcW w:w="3969" w:type="dxa"/>
          </w:tcPr>
          <w:p w:rsidR="00A31468" w:rsidRPr="00F87AD8" w:rsidRDefault="00C3586A" w:rsidP="00A31468">
            <w:pPr>
              <w:tabs>
                <w:tab w:val="left" w:pos="34"/>
              </w:tabs>
              <w:suppressAutoHyphens/>
              <w:snapToGrid w:val="0"/>
              <w:jc w:val="both"/>
              <w:rPr>
                <w:rFonts w:cs="Times New Roman"/>
                <w:szCs w:val="24"/>
                <w:lang w:eastAsia="ar-SA"/>
              </w:rPr>
            </w:pPr>
            <w:r w:rsidRPr="00F87AD8">
              <w:rPr>
                <w:rFonts w:cs="Times New Roman"/>
                <w:szCs w:val="24"/>
                <w:lang w:eastAsia="ar-SA"/>
              </w:rPr>
              <w:t>Paramos sumažinim</w:t>
            </w:r>
            <w:r w:rsidR="00FA3473">
              <w:rPr>
                <w:rFonts w:cs="Times New Roman"/>
                <w:szCs w:val="24"/>
                <w:lang w:eastAsia="ar-SA"/>
              </w:rPr>
              <w:t>o</w:t>
            </w:r>
            <w:r w:rsidRPr="00F87AD8">
              <w:rPr>
                <w:rFonts w:cs="Times New Roman"/>
                <w:szCs w:val="24"/>
                <w:lang w:eastAsia="ar-SA"/>
              </w:rPr>
              <w:t xml:space="preserve"> </w:t>
            </w:r>
            <w:r w:rsidRPr="00F87AD8">
              <w:rPr>
                <w:rFonts w:cs="Times New Roman"/>
                <w:bCs/>
                <w:szCs w:val="24"/>
                <w:lang w:eastAsia="ar-SA"/>
              </w:rPr>
              <w:t>ir (arba)</w:t>
            </w:r>
            <w:r w:rsidRPr="00F87AD8">
              <w:rPr>
                <w:rFonts w:cs="Times New Roman"/>
                <w:szCs w:val="24"/>
                <w:lang w:eastAsia="ar-SA"/>
              </w:rPr>
              <w:t xml:space="preserve"> susigrąžinim</w:t>
            </w:r>
            <w:r w:rsidR="00FA3473">
              <w:rPr>
                <w:rFonts w:cs="Times New Roman"/>
                <w:szCs w:val="24"/>
                <w:lang w:eastAsia="ar-SA"/>
              </w:rPr>
              <w:t>o</w:t>
            </w:r>
            <w:r w:rsidRPr="00F87AD8">
              <w:rPr>
                <w:rFonts w:cs="Times New Roman"/>
                <w:szCs w:val="24"/>
                <w:lang w:eastAsia="ar-SA"/>
              </w:rPr>
              <w:t xml:space="preserve"> (projekto įgyvendinimo ar kontrolės laikotarpiu) 0,5–100 proc. nuo išmokėtos paramos sumos</w:t>
            </w:r>
            <w:r w:rsidR="00FA3473">
              <w:rPr>
                <w:rFonts w:cs="Times New Roman"/>
                <w:szCs w:val="24"/>
                <w:lang w:eastAsia="ar-SA"/>
              </w:rPr>
              <w:t xml:space="preserve"> sankcija</w:t>
            </w:r>
            <w:r w:rsidRPr="00F87AD8">
              <w:rPr>
                <w:rFonts w:cs="Times New Roman"/>
                <w:szCs w:val="24"/>
                <w:lang w:eastAsia="ar-SA"/>
              </w:rPr>
              <w:t>, bet ne mažiau nei 100,01 Eur</w:t>
            </w:r>
            <w:r w:rsidR="00FA3473">
              <w:rPr>
                <w:rFonts w:cs="Times New Roman"/>
                <w:szCs w:val="24"/>
                <w:lang w:eastAsia="ar-SA"/>
              </w:rPr>
              <w:t>.</w:t>
            </w:r>
          </w:p>
        </w:tc>
        <w:tc>
          <w:tcPr>
            <w:tcW w:w="2977" w:type="dxa"/>
          </w:tcPr>
          <w:p w:rsidR="00A31468" w:rsidRPr="00F87AD8" w:rsidRDefault="00AF759A" w:rsidP="00A31468">
            <w:pPr>
              <w:jc w:val="both"/>
              <w:rPr>
                <w:rFonts w:cs="Times New Roman"/>
                <w:szCs w:val="24"/>
              </w:rPr>
            </w:pPr>
            <w:r>
              <w:rPr>
                <w:rFonts w:cs="Times New Roman"/>
                <w:color w:val="000000" w:themeColor="text1"/>
                <w:szCs w:val="24"/>
              </w:rPr>
              <w:t>M</w:t>
            </w:r>
            <w:r w:rsidR="00A31468" w:rsidRPr="00F87AD8">
              <w:rPr>
                <w:rFonts w:cs="Times New Roman"/>
                <w:color w:val="000000" w:themeColor="text1"/>
                <w:szCs w:val="24"/>
              </w:rPr>
              <w:t xml:space="preserve">etodika </w:t>
            </w:r>
          </w:p>
        </w:tc>
      </w:tr>
      <w:tr w:rsidR="00A31468" w:rsidRPr="00F87AD8" w:rsidTr="0061322E">
        <w:tc>
          <w:tcPr>
            <w:tcW w:w="7933" w:type="dxa"/>
          </w:tcPr>
          <w:p w:rsidR="00A31468" w:rsidRPr="00F87AD8" w:rsidRDefault="00A31468" w:rsidP="00A31468">
            <w:pPr>
              <w:tabs>
                <w:tab w:val="left" w:pos="601"/>
              </w:tabs>
              <w:ind w:right="-57"/>
              <w:jc w:val="both"/>
              <w:rPr>
                <w:rFonts w:cs="Times New Roman"/>
                <w:szCs w:val="24"/>
              </w:rPr>
            </w:pPr>
            <w:r w:rsidRPr="00F87AD8">
              <w:rPr>
                <w:rFonts w:eastAsia="Times New Roman" w:cs="Times New Roman"/>
                <w:szCs w:val="24"/>
              </w:rPr>
              <w:t>Įvykdyti paramos sutartyje numatytus papildomus įsipareigojimus (</w:t>
            </w:r>
            <w:r w:rsidRPr="00F87AD8">
              <w:rPr>
                <w:rFonts w:cs="Times New Roman"/>
                <w:szCs w:val="24"/>
              </w:rPr>
              <w:t>taikoma, jei papildomi įsipareigojimai buvo įtraukti į sutartį).</w:t>
            </w:r>
          </w:p>
        </w:tc>
        <w:tc>
          <w:tcPr>
            <w:tcW w:w="3969" w:type="dxa"/>
          </w:tcPr>
          <w:p w:rsidR="00A31468" w:rsidRPr="00F87AD8" w:rsidRDefault="00A31468" w:rsidP="00A31468">
            <w:pPr>
              <w:tabs>
                <w:tab w:val="left" w:pos="34"/>
              </w:tabs>
              <w:suppressAutoHyphens/>
              <w:snapToGrid w:val="0"/>
              <w:jc w:val="both"/>
              <w:rPr>
                <w:rFonts w:cs="Times New Roman"/>
                <w:szCs w:val="24"/>
              </w:rPr>
            </w:pPr>
            <w:r w:rsidRPr="00F87AD8">
              <w:rPr>
                <w:rFonts w:cs="Times New Roman"/>
                <w:color w:val="000000"/>
                <w:szCs w:val="24"/>
              </w:rPr>
              <w:t>Sankcijos dydis priklauso nuo nustatyto pažeidimo pobūdžio, masto bei sunkumo.</w:t>
            </w:r>
          </w:p>
        </w:tc>
        <w:tc>
          <w:tcPr>
            <w:tcW w:w="2977" w:type="dxa"/>
          </w:tcPr>
          <w:p w:rsidR="00A31468" w:rsidRPr="00F87AD8" w:rsidRDefault="00AF759A" w:rsidP="00A31468">
            <w:pPr>
              <w:jc w:val="both"/>
              <w:rPr>
                <w:rFonts w:cs="Times New Roman"/>
                <w:color w:val="000000" w:themeColor="text1"/>
                <w:szCs w:val="24"/>
              </w:rPr>
            </w:pPr>
            <w:r>
              <w:rPr>
                <w:rFonts w:cs="Times New Roman"/>
                <w:color w:val="000000" w:themeColor="text1"/>
                <w:szCs w:val="24"/>
              </w:rPr>
              <w:t>M</w:t>
            </w:r>
            <w:r w:rsidR="00A31468" w:rsidRPr="00F87AD8">
              <w:rPr>
                <w:rFonts w:cs="Times New Roman"/>
                <w:color w:val="000000" w:themeColor="text1"/>
                <w:szCs w:val="24"/>
              </w:rPr>
              <w:t xml:space="preserve">etodika </w:t>
            </w:r>
          </w:p>
        </w:tc>
      </w:tr>
    </w:tbl>
    <w:p w:rsidR="0091524D" w:rsidRDefault="00903D0A" w:rsidP="0061322E">
      <w:pPr>
        <w:tabs>
          <w:tab w:val="left" w:pos="1134"/>
        </w:tabs>
        <w:ind w:right="-314" w:firstLine="840"/>
        <w:jc w:val="both"/>
        <w:rPr>
          <w:rFonts w:cs="Times New Roman"/>
          <w:color w:val="000000"/>
          <w:szCs w:val="24"/>
        </w:rPr>
      </w:pPr>
      <w:r w:rsidRPr="0061322E">
        <w:rPr>
          <w:rFonts w:cs="Times New Roman"/>
          <w:szCs w:val="24"/>
        </w:rPr>
        <w:t xml:space="preserve">Atkreipiame Jūsų dėmesį, kad aukščiau yra išvardyti patys svarbiausi, bet ne visi Jums keliami reikalavimai ir įsipareigojimai, kurie yra nurodyti </w:t>
      </w:r>
      <w:r w:rsidR="00650CFB" w:rsidRPr="0061322E">
        <w:rPr>
          <w:rFonts w:cs="Times New Roman"/>
          <w:szCs w:val="24"/>
        </w:rPr>
        <w:t>Lietuvos žuvininkystės sektoriaus 2014–2020 metų veiksmų programos pirmojo Sąjungos prioriteto „Aplinkosaugos požiūriu tvarios, efektyviai išteklius naudojančios, inovacinės, konkurencingos ir žiniomis grindžiamos žvejybos skatinimas“ priemon</w:t>
      </w:r>
      <w:r w:rsidR="00FA3473">
        <w:rPr>
          <w:rFonts w:cs="Times New Roman"/>
          <w:szCs w:val="24"/>
        </w:rPr>
        <w:t>ės</w:t>
      </w:r>
      <w:r w:rsidR="00650CFB" w:rsidRPr="0061322E">
        <w:rPr>
          <w:rFonts w:cs="Times New Roman"/>
          <w:szCs w:val="24"/>
        </w:rPr>
        <w:t xml:space="preserve"> „Žvejybos uostai, iškrovimo vietos, aukcionų patalpos ir priedangos. Investicijos į žvejybos uostų ir aukcionų patalpų infrastruktūros arba iškrovimo vietų ir priedangų gerinimą“</w:t>
      </w:r>
      <w:r w:rsidR="004B1D2E" w:rsidRPr="0061322E">
        <w:rPr>
          <w:rFonts w:cs="Times New Roman"/>
          <w:szCs w:val="24"/>
        </w:rPr>
        <w:t xml:space="preserve"> įgyvendinimo taisyklėse, patvirtintose Lietuvos Respublikos žemės ūkio ministro </w:t>
      </w:r>
      <w:r w:rsidR="00C14A97" w:rsidRPr="0061322E">
        <w:rPr>
          <w:rFonts w:cs="Times New Roman"/>
          <w:color w:val="000000"/>
          <w:szCs w:val="24"/>
        </w:rPr>
        <w:t>201</w:t>
      </w:r>
      <w:r w:rsidR="00374DFA" w:rsidRPr="0061322E">
        <w:rPr>
          <w:rFonts w:cs="Times New Roman"/>
          <w:color w:val="000000"/>
          <w:szCs w:val="24"/>
        </w:rPr>
        <w:t>8</w:t>
      </w:r>
      <w:r w:rsidR="00C14A97" w:rsidRPr="0061322E">
        <w:rPr>
          <w:rFonts w:cs="Times New Roman"/>
          <w:color w:val="000000"/>
          <w:szCs w:val="24"/>
        </w:rPr>
        <w:t xml:space="preserve"> m. </w:t>
      </w:r>
      <w:r w:rsidR="00374DFA" w:rsidRPr="0061322E">
        <w:rPr>
          <w:rFonts w:cs="Times New Roman"/>
          <w:color w:val="000000"/>
          <w:szCs w:val="24"/>
        </w:rPr>
        <w:t xml:space="preserve">rugpjūčio </w:t>
      </w:r>
      <w:r w:rsidR="00C14A97" w:rsidRPr="0061322E">
        <w:rPr>
          <w:rFonts w:cs="Times New Roman"/>
          <w:color w:val="000000"/>
          <w:szCs w:val="24"/>
        </w:rPr>
        <w:t>10 d. įsakymu Nr. 3D-</w:t>
      </w:r>
      <w:r w:rsidR="00374DFA" w:rsidRPr="0061322E">
        <w:rPr>
          <w:rFonts w:cs="Times New Roman"/>
          <w:color w:val="000000"/>
          <w:szCs w:val="24"/>
        </w:rPr>
        <w:t>542</w:t>
      </w:r>
      <w:r w:rsidR="004B1D2E" w:rsidRPr="0061322E">
        <w:rPr>
          <w:rFonts w:cs="Times New Roman"/>
          <w:color w:val="000000"/>
          <w:szCs w:val="24"/>
        </w:rPr>
        <w:t xml:space="preserve"> „Dėl </w:t>
      </w:r>
      <w:r w:rsidR="00374DFA" w:rsidRPr="0061322E">
        <w:rPr>
          <w:rFonts w:cs="Times New Roman"/>
          <w:szCs w:val="24"/>
        </w:rPr>
        <w:t>Lietuvos žuvininkystės sektoriaus 2014–2020 metų veiksmų programos pirmojo Sąjungos prioriteto „Aplinkosaugos požiūriu tvarios, efektyviai išteklius naudojančios, inovacinės, konkurencingos ir žiniomis grindžiamos žvejybos skatinimas“ priemonės „Žvejybos uostai, iškrovimo vietos, aukcionų patalpos ir priedangos. Investicijos į žvejybos uostų ir aukcionų patalpų infrastruktūros arba iškrovimo vietų ir priedangų gerinimą“</w:t>
      </w:r>
      <w:r w:rsidR="004B1D2E" w:rsidRPr="0061322E">
        <w:rPr>
          <w:rStyle w:val="apple-converted-space"/>
          <w:rFonts w:cs="Times New Roman"/>
          <w:color w:val="000000"/>
          <w:szCs w:val="24"/>
        </w:rPr>
        <w:t> </w:t>
      </w:r>
      <w:r w:rsidR="004B1D2E" w:rsidRPr="0061322E">
        <w:rPr>
          <w:rFonts w:cs="Times New Roman"/>
          <w:color w:val="000000"/>
          <w:szCs w:val="24"/>
        </w:rPr>
        <w:t>įgyvendinimo taisyklių patvirtinimo“</w:t>
      </w:r>
      <w:r w:rsidR="008106C7" w:rsidRPr="0061322E">
        <w:rPr>
          <w:rFonts w:cs="Times New Roman"/>
          <w:color w:val="000000"/>
          <w:szCs w:val="24"/>
        </w:rPr>
        <w:t>.</w:t>
      </w:r>
      <w:bookmarkEnd w:id="0"/>
    </w:p>
    <w:p w:rsidR="00FA3473" w:rsidRPr="0061322E" w:rsidRDefault="00FA3473" w:rsidP="0061322E">
      <w:pPr>
        <w:tabs>
          <w:tab w:val="left" w:pos="1134"/>
        </w:tabs>
        <w:ind w:right="-314"/>
        <w:jc w:val="center"/>
        <w:rPr>
          <w:rFonts w:cs="Times New Roman"/>
          <w:color w:val="000000" w:themeColor="text1"/>
          <w:szCs w:val="24"/>
        </w:rPr>
      </w:pPr>
      <w:r>
        <w:rPr>
          <w:rFonts w:cs="Times New Roman"/>
          <w:color w:val="000000"/>
          <w:szCs w:val="24"/>
        </w:rPr>
        <w:t>_____________________</w:t>
      </w:r>
    </w:p>
    <w:sectPr w:rsidR="00FA3473" w:rsidRPr="0061322E" w:rsidSect="006704C4">
      <w:headerReference w:type="default" r:id="rId11"/>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0D7" w:rsidRDefault="00D840D7" w:rsidP="0091524D">
      <w:pPr>
        <w:spacing w:after="0" w:line="240" w:lineRule="auto"/>
      </w:pPr>
      <w:r>
        <w:separator/>
      </w:r>
    </w:p>
  </w:endnote>
  <w:endnote w:type="continuationSeparator" w:id="0">
    <w:p w:rsidR="00D840D7" w:rsidRDefault="00D840D7"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0D7" w:rsidRDefault="00D840D7" w:rsidP="0091524D">
      <w:pPr>
        <w:spacing w:after="0" w:line="240" w:lineRule="auto"/>
      </w:pPr>
      <w:r>
        <w:separator/>
      </w:r>
    </w:p>
  </w:footnote>
  <w:footnote w:type="continuationSeparator" w:id="0">
    <w:p w:rsidR="00D840D7" w:rsidRDefault="00D840D7"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283890"/>
      <w:docPartObj>
        <w:docPartGallery w:val="Page Numbers (Top of Page)"/>
        <w:docPartUnique/>
      </w:docPartObj>
    </w:sdtPr>
    <w:sdtEndPr/>
    <w:sdtContent>
      <w:p w:rsidR="00F87AD8" w:rsidRDefault="00F87AD8">
        <w:pPr>
          <w:pStyle w:val="Header"/>
          <w:jc w:val="center"/>
        </w:pPr>
        <w:r>
          <w:fldChar w:fldCharType="begin"/>
        </w:r>
        <w:r>
          <w:instrText>PAGE   \* MERGEFORMAT</w:instrText>
        </w:r>
        <w:r>
          <w:fldChar w:fldCharType="separate"/>
        </w:r>
        <w:r>
          <w:t>2</w:t>
        </w:r>
        <w:r>
          <w:fldChar w:fldCharType="end"/>
        </w:r>
      </w:p>
    </w:sdtContent>
  </w:sdt>
  <w:p w:rsidR="00F87AD8" w:rsidRDefault="00F87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FD2778"/>
    <w:multiLevelType w:val="hybridMultilevel"/>
    <w:tmpl w:val="BF0A7870"/>
    <w:lvl w:ilvl="0" w:tplc="8A5ED34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628A"/>
    <w:rsid w:val="00015D91"/>
    <w:rsid w:val="00063E34"/>
    <w:rsid w:val="0006798A"/>
    <w:rsid w:val="0007763C"/>
    <w:rsid w:val="000D1EEE"/>
    <w:rsid w:val="00115154"/>
    <w:rsid w:val="001301A2"/>
    <w:rsid w:val="00177FDF"/>
    <w:rsid w:val="00180D66"/>
    <w:rsid w:val="001E544C"/>
    <w:rsid w:val="001E7594"/>
    <w:rsid w:val="00252E21"/>
    <w:rsid w:val="00261DC5"/>
    <w:rsid w:val="00265270"/>
    <w:rsid w:val="00291C6F"/>
    <w:rsid w:val="002A1DA0"/>
    <w:rsid w:val="002B2096"/>
    <w:rsid w:val="002C4182"/>
    <w:rsid w:val="002F18E0"/>
    <w:rsid w:val="0032244A"/>
    <w:rsid w:val="00337AE5"/>
    <w:rsid w:val="00337F80"/>
    <w:rsid w:val="00374DFA"/>
    <w:rsid w:val="003A05ED"/>
    <w:rsid w:val="003B69C0"/>
    <w:rsid w:val="003C1404"/>
    <w:rsid w:val="003D596B"/>
    <w:rsid w:val="003E41E4"/>
    <w:rsid w:val="003F2327"/>
    <w:rsid w:val="00415112"/>
    <w:rsid w:val="00445165"/>
    <w:rsid w:val="004571E1"/>
    <w:rsid w:val="00461C26"/>
    <w:rsid w:val="00471437"/>
    <w:rsid w:val="00472F3B"/>
    <w:rsid w:val="00475BF9"/>
    <w:rsid w:val="004846B2"/>
    <w:rsid w:val="00494F66"/>
    <w:rsid w:val="004A093A"/>
    <w:rsid w:val="004A3089"/>
    <w:rsid w:val="004B1D2E"/>
    <w:rsid w:val="004C7853"/>
    <w:rsid w:val="004C7DB7"/>
    <w:rsid w:val="004E6751"/>
    <w:rsid w:val="0050222C"/>
    <w:rsid w:val="00502874"/>
    <w:rsid w:val="00513E69"/>
    <w:rsid w:val="00594AE0"/>
    <w:rsid w:val="005A3E0E"/>
    <w:rsid w:val="005B69BB"/>
    <w:rsid w:val="005E56F1"/>
    <w:rsid w:val="0061322E"/>
    <w:rsid w:val="00650CFB"/>
    <w:rsid w:val="006704C4"/>
    <w:rsid w:val="00670689"/>
    <w:rsid w:val="00676D7F"/>
    <w:rsid w:val="00682880"/>
    <w:rsid w:val="00686B40"/>
    <w:rsid w:val="006D393F"/>
    <w:rsid w:val="006E150E"/>
    <w:rsid w:val="006F4C0F"/>
    <w:rsid w:val="006F5700"/>
    <w:rsid w:val="00725DA8"/>
    <w:rsid w:val="0073428A"/>
    <w:rsid w:val="0073774A"/>
    <w:rsid w:val="00753B6A"/>
    <w:rsid w:val="00754E1B"/>
    <w:rsid w:val="007723DA"/>
    <w:rsid w:val="00796F48"/>
    <w:rsid w:val="0080179E"/>
    <w:rsid w:val="008073D8"/>
    <w:rsid w:val="008106C7"/>
    <w:rsid w:val="00813F29"/>
    <w:rsid w:val="00844B2D"/>
    <w:rsid w:val="00864B66"/>
    <w:rsid w:val="0087233F"/>
    <w:rsid w:val="008774AD"/>
    <w:rsid w:val="00880FD3"/>
    <w:rsid w:val="0089453B"/>
    <w:rsid w:val="008B5A88"/>
    <w:rsid w:val="008E4815"/>
    <w:rsid w:val="008E740D"/>
    <w:rsid w:val="008F19F9"/>
    <w:rsid w:val="00903D0A"/>
    <w:rsid w:val="0091524D"/>
    <w:rsid w:val="00937CAE"/>
    <w:rsid w:val="009647F9"/>
    <w:rsid w:val="009B59C7"/>
    <w:rsid w:val="009C32FE"/>
    <w:rsid w:val="009D3A1D"/>
    <w:rsid w:val="00A16BC3"/>
    <w:rsid w:val="00A22955"/>
    <w:rsid w:val="00A2357C"/>
    <w:rsid w:val="00A31468"/>
    <w:rsid w:val="00A31E08"/>
    <w:rsid w:val="00A72B33"/>
    <w:rsid w:val="00A7777B"/>
    <w:rsid w:val="00A87494"/>
    <w:rsid w:val="00A90978"/>
    <w:rsid w:val="00A97C8A"/>
    <w:rsid w:val="00AA020E"/>
    <w:rsid w:val="00AA5468"/>
    <w:rsid w:val="00AC0674"/>
    <w:rsid w:val="00AD0823"/>
    <w:rsid w:val="00AF759A"/>
    <w:rsid w:val="00B07D6A"/>
    <w:rsid w:val="00B105C1"/>
    <w:rsid w:val="00B234CA"/>
    <w:rsid w:val="00B247BE"/>
    <w:rsid w:val="00B35F5A"/>
    <w:rsid w:val="00B4010C"/>
    <w:rsid w:val="00B406B4"/>
    <w:rsid w:val="00B5160A"/>
    <w:rsid w:val="00B6426C"/>
    <w:rsid w:val="00B74F6E"/>
    <w:rsid w:val="00B93E83"/>
    <w:rsid w:val="00BC0FE1"/>
    <w:rsid w:val="00BD0CA3"/>
    <w:rsid w:val="00C14A97"/>
    <w:rsid w:val="00C3586A"/>
    <w:rsid w:val="00C37FED"/>
    <w:rsid w:val="00C6324F"/>
    <w:rsid w:val="00C63861"/>
    <w:rsid w:val="00C657D7"/>
    <w:rsid w:val="00C67488"/>
    <w:rsid w:val="00C7597C"/>
    <w:rsid w:val="00CA1675"/>
    <w:rsid w:val="00CC4C52"/>
    <w:rsid w:val="00CC6FEE"/>
    <w:rsid w:val="00CC7496"/>
    <w:rsid w:val="00CD23C6"/>
    <w:rsid w:val="00D07BF3"/>
    <w:rsid w:val="00D570D8"/>
    <w:rsid w:val="00D64500"/>
    <w:rsid w:val="00D840D7"/>
    <w:rsid w:val="00D94CB8"/>
    <w:rsid w:val="00DD0FCF"/>
    <w:rsid w:val="00DD4ED9"/>
    <w:rsid w:val="00DF478E"/>
    <w:rsid w:val="00E15C3B"/>
    <w:rsid w:val="00E43470"/>
    <w:rsid w:val="00E463A1"/>
    <w:rsid w:val="00E55E94"/>
    <w:rsid w:val="00E80FE6"/>
    <w:rsid w:val="00EB4746"/>
    <w:rsid w:val="00EB4F53"/>
    <w:rsid w:val="00ED5754"/>
    <w:rsid w:val="00EE7EDB"/>
    <w:rsid w:val="00EF374E"/>
    <w:rsid w:val="00F12F2F"/>
    <w:rsid w:val="00F1702C"/>
    <w:rsid w:val="00F33565"/>
    <w:rsid w:val="00F425EE"/>
    <w:rsid w:val="00F668A7"/>
    <w:rsid w:val="00F748A1"/>
    <w:rsid w:val="00F824BA"/>
    <w:rsid w:val="00F878ED"/>
    <w:rsid w:val="00F87AD8"/>
    <w:rsid w:val="00FA3473"/>
    <w:rsid w:val="00FB758C"/>
    <w:rsid w:val="00FD7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character" w:customStyle="1" w:styleId="apple-converted-space">
    <w:name w:val="apple-converted-space"/>
    <w:basedOn w:val="DefaultParagraphFont"/>
    <w:rsid w:val="008E740D"/>
  </w:style>
  <w:style w:type="paragraph" w:styleId="BodyText">
    <w:name w:val="Body Text"/>
    <w:basedOn w:val="Normal"/>
    <w:link w:val="BodyTextChar"/>
    <w:rsid w:val="00725DA8"/>
    <w:pPr>
      <w:spacing w:after="0" w:line="360" w:lineRule="auto"/>
      <w:jc w:val="both"/>
    </w:pPr>
    <w:rPr>
      <w:rFonts w:eastAsia="Times New Roman" w:cs="Times New Roman"/>
      <w:szCs w:val="20"/>
    </w:rPr>
  </w:style>
  <w:style w:type="character" w:customStyle="1" w:styleId="BodyTextChar">
    <w:name w:val="Body Text Char"/>
    <w:basedOn w:val="DefaultParagraphFont"/>
    <w:link w:val="BodyText"/>
    <w:rsid w:val="00725DA8"/>
    <w:rPr>
      <w:rFonts w:eastAsia="Times New Roman" w:cs="Times New Roman"/>
      <w:szCs w:val="20"/>
    </w:rPr>
  </w:style>
  <w:style w:type="paragraph" w:customStyle="1" w:styleId="Text3">
    <w:name w:val="Text 3"/>
    <w:basedOn w:val="Normal"/>
    <w:rsid w:val="00A90978"/>
    <w:pPr>
      <w:tabs>
        <w:tab w:val="left" w:pos="2302"/>
      </w:tabs>
      <w:suppressAutoHyphens/>
      <w:spacing w:after="240" w:line="240" w:lineRule="auto"/>
      <w:ind w:left="1202"/>
      <w:jc w:val="both"/>
    </w:pPr>
    <w:rPr>
      <w:rFonts w:eastAsia="Times New Roman" w:cs="Times New Roman"/>
      <w:szCs w:val="20"/>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490587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Props1.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2.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4.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6447</Words>
  <Characters>3675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Rita Kisielienė</cp:lastModifiedBy>
  <cp:revision>3</cp:revision>
  <dcterms:created xsi:type="dcterms:W3CDTF">2018-10-01T08:24:00Z</dcterms:created>
  <dcterms:modified xsi:type="dcterms:W3CDTF">2018-10-01T10:02:00Z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