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17C39" w14:textId="2819F703" w:rsidR="00425718" w:rsidRPr="002C4269" w:rsidRDefault="00425718" w:rsidP="00425718">
      <w:pPr>
        <w:spacing w:after="0" w:line="240" w:lineRule="auto"/>
        <w:jc w:val="center"/>
        <w:rPr>
          <w:rFonts w:ascii="Times New Roman" w:eastAsia="Calibri" w:hAnsi="Times New Roman" w:cs="Times New Roman"/>
          <w:b/>
          <w:sz w:val="24"/>
          <w:szCs w:val="24"/>
        </w:rPr>
      </w:pPr>
      <w:r w:rsidRPr="002C4269">
        <w:rPr>
          <w:rFonts w:ascii="Times New Roman" w:eastAsia="Calibri" w:hAnsi="Times New Roman" w:cs="Times New Roman"/>
          <w:b/>
          <w:sz w:val="24"/>
          <w:szCs w:val="24"/>
        </w:rPr>
        <w:t>ATMINTINĖ</w:t>
      </w:r>
      <w:r w:rsidRPr="002C4269">
        <w:rPr>
          <w:rFonts w:ascii="Times New Roman" w:eastAsia="Calibri" w:hAnsi="Times New Roman" w:cs="Times New Roman"/>
          <w:sz w:val="24"/>
        </w:rPr>
        <w:t xml:space="preserve"> </w:t>
      </w:r>
      <w:r w:rsidRPr="002C4269">
        <w:rPr>
          <w:rFonts w:ascii="Times New Roman" w:eastAsia="Calibri" w:hAnsi="Times New Roman" w:cs="Times New Roman"/>
          <w:b/>
          <w:sz w:val="24"/>
          <w:szCs w:val="24"/>
        </w:rPr>
        <w:t>PAREIŠKĖJAMS,</w:t>
      </w:r>
    </w:p>
    <w:p w14:paraId="6A25F659" w14:textId="6C1DB097" w:rsidR="002151F6" w:rsidRDefault="00425718" w:rsidP="00063823">
      <w:pPr>
        <w:spacing w:after="0" w:line="240" w:lineRule="auto"/>
        <w:jc w:val="center"/>
        <w:rPr>
          <w:rFonts w:ascii="Times New Roman" w:eastAsia="Calibri" w:hAnsi="Times New Roman" w:cs="Times New Roman"/>
          <w:b/>
          <w:caps/>
          <w:sz w:val="24"/>
          <w:szCs w:val="24"/>
        </w:rPr>
      </w:pPr>
      <w:r w:rsidRPr="002C4269">
        <w:rPr>
          <w:rFonts w:ascii="Times New Roman" w:eastAsia="Calibri" w:hAnsi="Times New Roman" w:cs="Times New Roman"/>
          <w:b/>
          <w:caps/>
          <w:sz w:val="24"/>
          <w:szCs w:val="24"/>
        </w:rPr>
        <w:t xml:space="preserve">teikIANTIEMS paraiškas nuo 2021 m. </w:t>
      </w:r>
      <w:r w:rsidRPr="002C4269" w:rsidDel="002151F6">
        <w:rPr>
          <w:rFonts w:ascii="Times New Roman" w:eastAsia="Calibri" w:hAnsi="Times New Roman" w:cs="Times New Roman"/>
          <w:b/>
          <w:caps/>
          <w:sz w:val="24"/>
          <w:szCs w:val="24"/>
        </w:rPr>
        <w:t>pagal</w:t>
      </w:r>
      <w:r w:rsidR="00063823" w:rsidRPr="002C4269" w:rsidDel="002151F6">
        <w:rPr>
          <w:rFonts w:ascii="Times New Roman" w:eastAsia="Calibri" w:hAnsi="Times New Roman" w:cs="Times New Roman"/>
          <w:b/>
          <w:caps/>
          <w:sz w:val="24"/>
          <w:szCs w:val="24"/>
        </w:rPr>
        <w:t xml:space="preserve"> </w:t>
      </w:r>
      <w:r w:rsidRPr="002C4269" w:rsidDel="002151F6">
        <w:rPr>
          <w:rFonts w:ascii="Times New Roman" w:eastAsia="Calibri" w:hAnsi="Times New Roman" w:cs="Times New Roman"/>
          <w:b/>
          <w:caps/>
          <w:sz w:val="24"/>
          <w:szCs w:val="24"/>
        </w:rPr>
        <w:t>LIETUVOS ŽUVININKYSTĖS SEKTORIAUS 2014–2020 METŲ VEIKSMŲ PROGRAMOS</w:t>
      </w:r>
      <w:r w:rsidR="00063823" w:rsidRPr="002C4269" w:rsidDel="002151F6">
        <w:rPr>
          <w:rFonts w:ascii="Times New Roman" w:eastAsia="Calibri" w:hAnsi="Times New Roman" w:cs="Times New Roman"/>
          <w:b/>
          <w:caps/>
          <w:sz w:val="24"/>
          <w:szCs w:val="24"/>
        </w:rPr>
        <w:t xml:space="preserve"> </w:t>
      </w:r>
      <w:r w:rsidRPr="002C4269" w:rsidDel="002151F6">
        <w:rPr>
          <w:rFonts w:ascii="Times New Roman" w:eastAsia="Calibri" w:hAnsi="Times New Roman" w:cs="Times New Roman"/>
          <w:b/>
          <w:caps/>
          <w:sz w:val="24"/>
          <w:szCs w:val="24"/>
        </w:rPr>
        <w:t>ANTROJO SĄJUNGOS PRIORITETO „APLINKOSAUGOS POŽIŪRIU TVARIOS, EFEKTYVIAI IŠTEKLIUS NAUDOJANČIOS, INOVACINĖS, KONKURENCINGOS IR ŽINIOMIS GRINDŽIAMOS AKVAKULTŪROS SKATINIMAS“</w:t>
      </w:r>
      <w:r w:rsidR="00063823" w:rsidRPr="002C4269" w:rsidDel="002151F6">
        <w:rPr>
          <w:rFonts w:ascii="Times New Roman" w:eastAsia="Calibri" w:hAnsi="Times New Roman" w:cs="Times New Roman"/>
          <w:b/>
          <w:caps/>
          <w:sz w:val="24"/>
          <w:szCs w:val="24"/>
        </w:rPr>
        <w:t xml:space="preserve"> </w:t>
      </w:r>
      <w:r w:rsidRPr="002C4269" w:rsidDel="002151F6">
        <w:rPr>
          <w:rFonts w:ascii="Times New Roman" w:eastAsia="Calibri" w:hAnsi="Times New Roman" w:cs="Times New Roman"/>
          <w:b/>
          <w:caps/>
          <w:sz w:val="24"/>
          <w:szCs w:val="24"/>
        </w:rPr>
        <w:t>PRIEMONĖS „PRODUKTYVIOS INVESTICIJOS Į AKVAKULTŪRĄ“</w:t>
      </w:r>
      <w:r w:rsidR="00063823" w:rsidRPr="002C4269" w:rsidDel="002151F6">
        <w:rPr>
          <w:rFonts w:ascii="Times New Roman" w:eastAsia="Calibri" w:hAnsi="Times New Roman" w:cs="Times New Roman"/>
          <w:b/>
          <w:caps/>
          <w:sz w:val="24"/>
          <w:szCs w:val="24"/>
        </w:rPr>
        <w:t xml:space="preserve"> </w:t>
      </w:r>
      <w:r w:rsidRPr="002C4269" w:rsidDel="002151F6">
        <w:rPr>
          <w:rFonts w:ascii="Times New Roman" w:eastAsia="Calibri" w:hAnsi="Times New Roman" w:cs="Times New Roman"/>
          <w:b/>
          <w:caps/>
          <w:sz w:val="24"/>
          <w:szCs w:val="24"/>
        </w:rPr>
        <w:t>VEIKLOS SRITIES „PRODUKTYVIOS INVESTICIJOS Į DIDELĖS APIMTIES AKVAKULTŪROS GAMYBĄ“</w:t>
      </w:r>
      <w:r w:rsidR="00063823" w:rsidRPr="002C4269" w:rsidDel="002151F6">
        <w:rPr>
          <w:rFonts w:ascii="Times New Roman" w:eastAsia="Calibri" w:hAnsi="Times New Roman" w:cs="Times New Roman"/>
          <w:b/>
          <w:caps/>
          <w:sz w:val="24"/>
          <w:szCs w:val="24"/>
        </w:rPr>
        <w:t xml:space="preserve"> </w:t>
      </w:r>
      <w:r w:rsidRPr="002C4269" w:rsidDel="002151F6">
        <w:rPr>
          <w:rFonts w:ascii="Times New Roman" w:eastAsia="Calibri" w:hAnsi="Times New Roman" w:cs="Times New Roman"/>
          <w:b/>
          <w:caps/>
          <w:sz w:val="24"/>
          <w:szCs w:val="24"/>
        </w:rPr>
        <w:t>įgyvendinimo taisykles</w:t>
      </w:r>
    </w:p>
    <w:p w14:paraId="5BD3AB2F" w14:textId="4A0C78A2" w:rsidR="009C4629" w:rsidRPr="002C4269" w:rsidRDefault="009C4629" w:rsidP="00063823">
      <w:pPr>
        <w:spacing w:after="0" w:line="240" w:lineRule="auto"/>
        <w:jc w:val="center"/>
        <w:rPr>
          <w:rFonts w:ascii="Times New Roman" w:eastAsia="Calibri" w:hAnsi="Times New Roman" w:cs="Times New Roman"/>
          <w:b/>
          <w:caps/>
          <w:sz w:val="24"/>
          <w:szCs w:val="24"/>
        </w:rPr>
      </w:pPr>
    </w:p>
    <w:tbl>
      <w:tblPr>
        <w:tblStyle w:val="TableGrid"/>
        <w:tblW w:w="15021" w:type="dxa"/>
        <w:tblLook w:val="04A0" w:firstRow="1" w:lastRow="0" w:firstColumn="1" w:lastColumn="0" w:noHBand="0" w:noVBand="1"/>
      </w:tblPr>
      <w:tblGrid>
        <w:gridCol w:w="7225"/>
        <w:gridCol w:w="3969"/>
        <w:gridCol w:w="3827"/>
      </w:tblGrid>
      <w:tr w:rsidR="006E7A5D" w:rsidRPr="002C4269" w14:paraId="49A4C1C2" w14:textId="77777777" w:rsidTr="00721116">
        <w:trPr>
          <w:tblHeader/>
        </w:trPr>
        <w:tc>
          <w:tcPr>
            <w:tcW w:w="7225" w:type="dxa"/>
            <w:shd w:val="clear" w:color="auto" w:fill="D9D9D9" w:themeFill="background1" w:themeFillShade="D9"/>
          </w:tcPr>
          <w:p w14:paraId="03D55033" w14:textId="77777777" w:rsidR="006E7A5D" w:rsidRPr="002C4269" w:rsidRDefault="006E7A5D" w:rsidP="00522399">
            <w:pPr>
              <w:jc w:val="center"/>
              <w:rPr>
                <w:rFonts w:cs="Times New Roman"/>
                <w:b/>
                <w:color w:val="000000" w:themeColor="text1"/>
                <w:szCs w:val="24"/>
              </w:rPr>
            </w:pPr>
            <w:r w:rsidRPr="002C4269">
              <w:rPr>
                <w:rFonts w:cs="Times New Roman"/>
                <w:b/>
                <w:color w:val="000000" w:themeColor="text1"/>
                <w:szCs w:val="24"/>
              </w:rPr>
              <w:t>Privalu žinoti</w:t>
            </w:r>
          </w:p>
        </w:tc>
        <w:tc>
          <w:tcPr>
            <w:tcW w:w="3969" w:type="dxa"/>
            <w:shd w:val="clear" w:color="auto" w:fill="D9D9D9" w:themeFill="background1" w:themeFillShade="D9"/>
          </w:tcPr>
          <w:p w14:paraId="297270D9" w14:textId="77777777" w:rsidR="006E7A5D" w:rsidRPr="002C4269" w:rsidRDefault="006E7A5D" w:rsidP="00522399">
            <w:pPr>
              <w:jc w:val="center"/>
              <w:rPr>
                <w:rFonts w:cs="Times New Roman"/>
                <w:b/>
                <w:color w:val="000000" w:themeColor="text1"/>
                <w:szCs w:val="24"/>
              </w:rPr>
            </w:pPr>
            <w:r w:rsidRPr="002C4269">
              <w:rPr>
                <w:rFonts w:cs="Times New Roman"/>
                <w:b/>
                <w:color w:val="000000" w:themeColor="text1"/>
                <w:szCs w:val="24"/>
              </w:rPr>
              <w:t>Taikoma sankcija</w:t>
            </w:r>
          </w:p>
        </w:tc>
        <w:tc>
          <w:tcPr>
            <w:tcW w:w="3827" w:type="dxa"/>
            <w:shd w:val="clear" w:color="auto" w:fill="D9D9D9" w:themeFill="background1" w:themeFillShade="D9"/>
          </w:tcPr>
          <w:p w14:paraId="265FF0C7" w14:textId="77777777" w:rsidR="006E7A5D" w:rsidRPr="002C4269" w:rsidRDefault="006E7A5D" w:rsidP="00522399">
            <w:pPr>
              <w:jc w:val="center"/>
              <w:rPr>
                <w:rFonts w:cs="Times New Roman"/>
                <w:b/>
                <w:color w:val="000000" w:themeColor="text1"/>
                <w:szCs w:val="24"/>
              </w:rPr>
            </w:pPr>
            <w:r w:rsidRPr="002C4269">
              <w:rPr>
                <w:rFonts w:cs="Times New Roman"/>
                <w:b/>
                <w:color w:val="000000" w:themeColor="text1"/>
                <w:szCs w:val="24"/>
              </w:rPr>
              <w:t>Nuoroda į teisės aktą</w:t>
            </w:r>
          </w:p>
        </w:tc>
      </w:tr>
      <w:tr w:rsidR="006E7A5D" w:rsidRPr="002C4269" w14:paraId="5124B96A" w14:textId="77777777" w:rsidTr="00721116">
        <w:tc>
          <w:tcPr>
            <w:tcW w:w="7225" w:type="dxa"/>
          </w:tcPr>
          <w:p w14:paraId="50AA038C" w14:textId="4C00E1FB" w:rsidR="006E7A5D" w:rsidRPr="002C4269" w:rsidRDefault="0025089A" w:rsidP="005F39B5">
            <w:pPr>
              <w:tabs>
                <w:tab w:val="left" w:pos="601"/>
              </w:tabs>
              <w:ind w:right="-57"/>
              <w:jc w:val="both"/>
              <w:rPr>
                <w:rFonts w:cs="Times New Roman"/>
                <w:color w:val="4472C4" w:themeColor="accent1"/>
                <w:szCs w:val="24"/>
                <w:shd w:val="clear" w:color="auto" w:fill="FFFFFF"/>
              </w:rPr>
            </w:pPr>
            <w:r w:rsidRPr="002C4269">
              <w:rPr>
                <w:rFonts w:cs="Times New Roman"/>
                <w:color w:val="FFFFFF" w:themeColor="background1"/>
                <w:szCs w:val="24"/>
                <w:shd w:val="clear" w:color="auto" w:fill="FFFFFF"/>
              </w:rPr>
              <w:t xml:space="preserve">19.1 </w:t>
            </w:r>
            <w:r w:rsidR="006E7A5D" w:rsidRPr="002C4269">
              <w:rPr>
                <w:rFonts w:cs="Times New Roman"/>
                <w:szCs w:val="24"/>
                <w:shd w:val="clear" w:color="auto" w:fill="FFFFFF"/>
              </w:rPr>
              <w:t>Nuo paramos paraiškos pateikimo dienos iki projekto kontrolės laikotarpio</w:t>
            </w:r>
            <w:r w:rsidR="005F39B5" w:rsidRPr="002C4269">
              <w:rPr>
                <w:rFonts w:cs="Times New Roman"/>
                <w:szCs w:val="24"/>
                <w:shd w:val="clear" w:color="auto" w:fill="FFFFFF"/>
              </w:rPr>
              <w:t xml:space="preserve"> </w:t>
            </w:r>
            <w:r w:rsidR="006E7A5D" w:rsidRPr="002C4269">
              <w:rPr>
                <w:rFonts w:cs="Times New Roman"/>
                <w:szCs w:val="24"/>
                <w:shd w:val="clear" w:color="auto" w:fill="FFFFFF"/>
              </w:rPr>
              <w:t>pabaigos tvarkyti buhalterinę apskaitą Taisyklių</w:t>
            </w:r>
            <w:r w:rsidR="007A5319">
              <w:rPr>
                <w:rStyle w:val="FootnoteReference"/>
                <w:rFonts w:cs="Times New Roman"/>
                <w:szCs w:val="24"/>
                <w:shd w:val="clear" w:color="auto" w:fill="FFFFFF"/>
              </w:rPr>
              <w:footnoteReference w:id="1"/>
            </w:r>
            <w:r w:rsidR="006E7A5D" w:rsidRPr="002C4269">
              <w:rPr>
                <w:rFonts w:cs="Times New Roman"/>
                <w:szCs w:val="24"/>
                <w:shd w:val="clear" w:color="auto" w:fill="FFFFFF"/>
              </w:rPr>
              <w:t xml:space="preserve"> 14.10 papunktyje nurodyta tvarka.</w:t>
            </w:r>
          </w:p>
        </w:tc>
        <w:tc>
          <w:tcPr>
            <w:tcW w:w="3969" w:type="dxa"/>
          </w:tcPr>
          <w:p w14:paraId="2556E40F" w14:textId="77777777" w:rsidR="006E7A5D" w:rsidRPr="002C4269" w:rsidRDefault="006E7A5D" w:rsidP="00522399">
            <w:pPr>
              <w:jc w:val="both"/>
              <w:rPr>
                <w:rFonts w:cs="Times New Roman"/>
                <w:color w:val="000000"/>
                <w:szCs w:val="24"/>
              </w:rPr>
            </w:pPr>
            <w:r w:rsidRPr="002C4269">
              <w:rPr>
                <w:rFonts w:cs="Times New Roman"/>
                <w:color w:val="000000"/>
                <w:szCs w:val="24"/>
              </w:rPr>
              <w:t>Paramos sumažinimas ir (arba) susigrąžinimas nuo paramos sumos.</w:t>
            </w:r>
          </w:p>
          <w:p w14:paraId="1177D0E5" w14:textId="77777777" w:rsidR="006E7A5D" w:rsidRPr="002C4269" w:rsidRDefault="006E7A5D" w:rsidP="00522399">
            <w:pPr>
              <w:jc w:val="both"/>
              <w:rPr>
                <w:rFonts w:cs="Times New Roman"/>
                <w:color w:val="000000"/>
                <w:szCs w:val="24"/>
              </w:rPr>
            </w:pPr>
          </w:p>
        </w:tc>
        <w:tc>
          <w:tcPr>
            <w:tcW w:w="3827" w:type="dxa"/>
          </w:tcPr>
          <w:p w14:paraId="3C959292" w14:textId="183510AF" w:rsidR="006E7A5D" w:rsidRPr="002C4269" w:rsidRDefault="00063823" w:rsidP="00522399">
            <w:pPr>
              <w:jc w:val="both"/>
              <w:rPr>
                <w:rFonts w:cs="Times New Roman"/>
                <w:color w:val="000000" w:themeColor="text1"/>
                <w:szCs w:val="24"/>
              </w:rPr>
            </w:pPr>
            <w:r w:rsidRPr="002C4269">
              <w:rPr>
                <w:rFonts w:cs="Times New Roman"/>
                <w:color w:val="000000" w:themeColor="text1"/>
                <w:szCs w:val="24"/>
              </w:rPr>
              <w:t>Sankcijų metodika</w:t>
            </w:r>
            <w:r w:rsidR="007A5319">
              <w:rPr>
                <w:rStyle w:val="FootnoteReference"/>
                <w:rFonts w:cs="Times New Roman"/>
                <w:color w:val="000000" w:themeColor="text1"/>
                <w:szCs w:val="24"/>
              </w:rPr>
              <w:footnoteReference w:id="2"/>
            </w:r>
          </w:p>
        </w:tc>
      </w:tr>
      <w:tr w:rsidR="00C13EB6" w:rsidRPr="002C4269" w14:paraId="53B233A8" w14:textId="77777777" w:rsidTr="00721116">
        <w:tc>
          <w:tcPr>
            <w:tcW w:w="7225" w:type="dxa"/>
          </w:tcPr>
          <w:p w14:paraId="649FE0BB" w14:textId="53308F0B" w:rsidR="00C13EB6" w:rsidRPr="002C4269" w:rsidRDefault="00C13EB6" w:rsidP="00C13EB6">
            <w:pPr>
              <w:tabs>
                <w:tab w:val="left" w:pos="601"/>
              </w:tabs>
              <w:ind w:right="-57"/>
              <w:jc w:val="both"/>
              <w:rPr>
                <w:rFonts w:cs="Times New Roman"/>
                <w:szCs w:val="24"/>
                <w:shd w:val="clear" w:color="auto" w:fill="FFFFFF"/>
              </w:rPr>
            </w:pPr>
            <w:r w:rsidRPr="002C4269">
              <w:rPr>
                <w:color w:val="FFFFFF" w:themeColor="background1"/>
              </w:rPr>
              <w:t>19.</w:t>
            </w:r>
            <w:r w:rsidR="00403B25" w:rsidRPr="002C4269">
              <w:rPr>
                <w:color w:val="FFFFFF" w:themeColor="background1"/>
              </w:rPr>
              <w:t>2-</w:t>
            </w:r>
            <w:r w:rsidR="00856DA8" w:rsidRPr="002C4269">
              <w:rPr>
                <w:color w:val="FFFFFF" w:themeColor="background1"/>
              </w:rPr>
              <w:t>3</w:t>
            </w:r>
            <w:r w:rsidRPr="002C4269">
              <w:t xml:space="preserve">Sutikti, kad institucijų, atliekančių paramos paraiškų vertinimą, atranką ir projektų įgyvendinimo priežiūrą, Lietuvos žuvininkystės sektoriaus 2014–2020 metų veiksmų programos (toliau – Veiksmų programa) įgyvendinimo priežiūrą, atstovai ar jų įgalioti asmenys </w:t>
            </w:r>
            <w:r w:rsidR="00403B25" w:rsidRPr="002C4269">
              <w:t xml:space="preserve">patikrintų pateiktus duomenis ir atliktų patikrą vietoje, gautų papildomos informacijos apie projektą ir su juo susijusią veiklą, </w:t>
            </w:r>
            <w:r w:rsidRPr="002C4269">
              <w:t>audituotų, kontroliuotų, tikrintų, kaip yra laikomasi paramos gavimo sąlygų, kaip yra vykdomas projektas ir veikla, kuriai buvo skirta parama, ir sudaryti tam sąlygas po paramos sutarties pasirašymo dienos iki kontrolės laikotarpio pabaigos.</w:t>
            </w:r>
          </w:p>
        </w:tc>
        <w:tc>
          <w:tcPr>
            <w:tcW w:w="3969" w:type="dxa"/>
          </w:tcPr>
          <w:p w14:paraId="647D56D9" w14:textId="3CEAA2DA" w:rsidR="00C13EB6" w:rsidRPr="002C4269" w:rsidRDefault="00C13EB6" w:rsidP="00C13EB6">
            <w:pPr>
              <w:jc w:val="both"/>
              <w:rPr>
                <w:rFonts w:cs="Times New Roman"/>
                <w:color w:val="000000"/>
                <w:szCs w:val="24"/>
              </w:rPr>
            </w:pPr>
            <w:r w:rsidRPr="002C4269">
              <w:t>Paramos neskyrimas arba paramos sumažinimas ir (arba) susigrąžinimas 100 proc. nuo paramos sumos.</w:t>
            </w:r>
          </w:p>
        </w:tc>
        <w:tc>
          <w:tcPr>
            <w:tcW w:w="3827" w:type="dxa"/>
          </w:tcPr>
          <w:p w14:paraId="3779B8C5" w14:textId="6034F924" w:rsidR="00C13EB6" w:rsidRPr="002C4269" w:rsidRDefault="00063823" w:rsidP="00C13EB6">
            <w:pPr>
              <w:jc w:val="both"/>
              <w:rPr>
                <w:rFonts w:cs="Times New Roman"/>
                <w:color w:val="000000" w:themeColor="text1"/>
                <w:szCs w:val="24"/>
              </w:rPr>
            </w:pPr>
            <w:r w:rsidRPr="002C4269">
              <w:rPr>
                <w:rFonts w:cs="Times New Roman"/>
                <w:color w:val="000000" w:themeColor="text1"/>
                <w:szCs w:val="24"/>
              </w:rPr>
              <w:t>Sankcijų metodika</w:t>
            </w:r>
          </w:p>
        </w:tc>
      </w:tr>
      <w:tr w:rsidR="00C13EB6" w:rsidRPr="002C4269" w14:paraId="11C07D9F" w14:textId="77777777" w:rsidTr="00721116">
        <w:tc>
          <w:tcPr>
            <w:tcW w:w="7225" w:type="dxa"/>
          </w:tcPr>
          <w:p w14:paraId="30F3278A" w14:textId="25E6A984" w:rsidR="00C13EB6" w:rsidRPr="002C4269" w:rsidRDefault="00C13EB6" w:rsidP="00C13EB6">
            <w:pPr>
              <w:tabs>
                <w:tab w:val="left" w:pos="601"/>
              </w:tabs>
              <w:ind w:right="-57"/>
              <w:jc w:val="both"/>
            </w:pPr>
            <w:r w:rsidRPr="002C4269">
              <w:rPr>
                <w:color w:val="FFFFFF" w:themeColor="background1"/>
              </w:rPr>
              <w:t xml:space="preserve">19.4 </w:t>
            </w:r>
            <w:r w:rsidRPr="002C4269">
              <w:t>Teikti informaciją ir duomenis, reikalingus Veiksmų programos įgyvendinimo stebėsenai bei reikalingiems vertinimams atlikti.</w:t>
            </w:r>
          </w:p>
        </w:tc>
        <w:tc>
          <w:tcPr>
            <w:tcW w:w="3969" w:type="dxa"/>
          </w:tcPr>
          <w:p w14:paraId="7B40A269" w14:textId="1D01ED05" w:rsidR="00C13EB6" w:rsidRPr="002C4269" w:rsidRDefault="00C13EB6" w:rsidP="00C13EB6">
            <w:pPr>
              <w:jc w:val="both"/>
            </w:pPr>
            <w:r w:rsidRPr="002C4269">
              <w:t>Paramos sumažinimas arba susigrąžinimas nuo paramos sumos.</w:t>
            </w:r>
          </w:p>
        </w:tc>
        <w:tc>
          <w:tcPr>
            <w:tcW w:w="3827" w:type="dxa"/>
          </w:tcPr>
          <w:p w14:paraId="79A388B5" w14:textId="175EF746" w:rsidR="00C13EB6" w:rsidRPr="002C4269" w:rsidRDefault="00063823" w:rsidP="00C13EB6">
            <w:pPr>
              <w:jc w:val="both"/>
            </w:pPr>
            <w:r w:rsidRPr="002C4269">
              <w:rPr>
                <w:rFonts w:cs="Times New Roman"/>
                <w:color w:val="000000" w:themeColor="text1"/>
                <w:szCs w:val="24"/>
              </w:rPr>
              <w:t>Sankcijų metodika</w:t>
            </w:r>
          </w:p>
        </w:tc>
      </w:tr>
      <w:tr w:rsidR="00C13EB6" w:rsidRPr="002C4269" w14:paraId="65D1B8FE" w14:textId="77777777" w:rsidTr="00721116">
        <w:tc>
          <w:tcPr>
            <w:tcW w:w="7225" w:type="dxa"/>
          </w:tcPr>
          <w:p w14:paraId="0312B4E3" w14:textId="2A22E55B" w:rsidR="00C13EB6" w:rsidRPr="002C4269" w:rsidRDefault="00C13EB6" w:rsidP="00C13EB6">
            <w:pPr>
              <w:tabs>
                <w:tab w:val="left" w:pos="601"/>
              </w:tabs>
              <w:ind w:right="-57"/>
              <w:jc w:val="both"/>
            </w:pPr>
            <w:r w:rsidRPr="002C4269">
              <w:rPr>
                <w:color w:val="FFFFFF" w:themeColor="background1"/>
              </w:rPr>
              <w:lastRenderedPageBreak/>
              <w:t xml:space="preserve">19.5 </w:t>
            </w:r>
            <w:r w:rsidRPr="002C4269">
              <w:t xml:space="preserve">Viešinti paramą </w:t>
            </w:r>
            <w:r w:rsidR="007A5319">
              <w:t>V</w:t>
            </w:r>
            <w:r w:rsidRPr="002C4269">
              <w:t>iešinimo taisykl</w:t>
            </w:r>
            <w:r w:rsidR="00D74C71">
              <w:t>ėse</w:t>
            </w:r>
            <w:r w:rsidR="00D74C71">
              <w:rPr>
                <w:rStyle w:val="FootnoteReference"/>
              </w:rPr>
              <w:footnoteReference w:id="3"/>
            </w:r>
            <w:r w:rsidRPr="002C4269">
              <w:t xml:space="preserve"> nustatyt</w:t>
            </w:r>
            <w:r w:rsidR="00D74C71">
              <w:t>a</w:t>
            </w:r>
            <w:r w:rsidRPr="002C4269">
              <w:t xml:space="preserve"> tvark</w:t>
            </w:r>
            <w:r w:rsidR="00D74C71">
              <w:t>a</w:t>
            </w:r>
            <w:r w:rsidRPr="002C4269">
              <w:t>.</w:t>
            </w:r>
          </w:p>
        </w:tc>
        <w:tc>
          <w:tcPr>
            <w:tcW w:w="3969" w:type="dxa"/>
          </w:tcPr>
          <w:p w14:paraId="7FB22707" w14:textId="04560EA0" w:rsidR="00C13EB6" w:rsidRPr="002C4269" w:rsidRDefault="00C13EB6" w:rsidP="00C13EB6">
            <w:pPr>
              <w:jc w:val="both"/>
            </w:pPr>
            <w:r w:rsidRPr="002C4269">
              <w:t>Paramos sumažinimas (projekto įgyvendinimo laikotarpiu) 1 proc. nuo skirtos paramos sumos arba paramos susigrąžinimas (projekto kontrolės laikotarpiu) 0,5 proc. nuo išmokėtos paramos sumos.</w:t>
            </w:r>
          </w:p>
        </w:tc>
        <w:tc>
          <w:tcPr>
            <w:tcW w:w="3827" w:type="dxa"/>
          </w:tcPr>
          <w:p w14:paraId="70902B15" w14:textId="21AFC014" w:rsidR="00C13EB6" w:rsidRPr="002C4269" w:rsidRDefault="00063823" w:rsidP="00C13EB6">
            <w:pPr>
              <w:jc w:val="both"/>
            </w:pPr>
            <w:r w:rsidRPr="002C4269">
              <w:rPr>
                <w:rFonts w:cs="Times New Roman"/>
                <w:color w:val="000000" w:themeColor="text1"/>
                <w:szCs w:val="24"/>
              </w:rPr>
              <w:t>Sankcijų metodika</w:t>
            </w:r>
          </w:p>
        </w:tc>
      </w:tr>
      <w:tr w:rsidR="006E7A5D" w:rsidRPr="002C4269" w14:paraId="590ED9EF" w14:textId="77777777" w:rsidTr="00721116">
        <w:tc>
          <w:tcPr>
            <w:tcW w:w="7225" w:type="dxa"/>
          </w:tcPr>
          <w:p w14:paraId="08E9F133" w14:textId="753013D5" w:rsidR="006E7A5D" w:rsidRPr="002C4269" w:rsidRDefault="00856DA8" w:rsidP="00403B25">
            <w:pPr>
              <w:tabs>
                <w:tab w:val="left" w:pos="601"/>
              </w:tabs>
              <w:ind w:right="-57"/>
              <w:jc w:val="both"/>
              <w:rPr>
                <w:rFonts w:cs="Times New Roman"/>
                <w:color w:val="4472C4" w:themeColor="accent1"/>
                <w:szCs w:val="24"/>
                <w:shd w:val="clear" w:color="auto" w:fill="FFFFFF"/>
              </w:rPr>
            </w:pPr>
            <w:r w:rsidRPr="002C4269">
              <w:rPr>
                <w:rFonts w:eastAsia="Times New Roman" w:cs="Times New Roman"/>
                <w:color w:val="FFFFFF" w:themeColor="background1"/>
                <w:szCs w:val="24"/>
                <w:lang w:eastAsia="lt-LT"/>
              </w:rPr>
              <w:t xml:space="preserve">19.6 </w:t>
            </w:r>
            <w:r w:rsidRPr="002C4269">
              <w:rPr>
                <w:rFonts w:eastAsia="Times New Roman" w:cs="Times New Roman"/>
                <w:szCs w:val="24"/>
                <w:lang w:eastAsia="lt-LT"/>
              </w:rPr>
              <w:t>Apdrausti ilgalaikį materialųjį turtą, kuriam įsigyti ar sukurti bus panaudota parama, kurio pirkimo vertė (įskaitant PVM) viršija 10 000 Eur, nuo mokėjimo prašymo pateikimo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Reikalavimas gali būti netaikomas, jei pareiškėjas įrodo, kad apdrausti paramos lėšomis įgytą ar sukurtą turtą nėra galimybių, ir kartu su mokėjimo prašymu pateikia bent tris šio fakto patvirtinimo skirtingų draudimo įmonių atsisakymo suteikti draudimo paslaugas raštus. Įvykus įvykiui, kurio metu buvo sugadintas ar sunaikintas paramos lėšomis įsigytas ar sukurtas turtas, pareiškėjas įsipareigoja atkurti apdraustą ir neapdraustą turtą ne mažesne negu atkuriamąja turto verte ir ne blogesnių techninių parametrų</w:t>
            </w:r>
            <w:r w:rsidR="006E7A5D" w:rsidRPr="002C4269">
              <w:rPr>
                <w:rFonts w:eastAsia="Times New Roman" w:cs="Times New Roman"/>
                <w:szCs w:val="24"/>
                <w:lang w:eastAsia="lt-LT"/>
              </w:rPr>
              <w:t>.</w:t>
            </w:r>
          </w:p>
        </w:tc>
        <w:tc>
          <w:tcPr>
            <w:tcW w:w="3969" w:type="dxa"/>
          </w:tcPr>
          <w:p w14:paraId="11D6F544" w14:textId="77777777" w:rsidR="006E7A5D" w:rsidRPr="002C4269" w:rsidRDefault="006E7A5D" w:rsidP="00522399">
            <w:pPr>
              <w:jc w:val="both"/>
              <w:rPr>
                <w:rFonts w:cs="Times New Roman"/>
                <w:color w:val="000000"/>
                <w:szCs w:val="24"/>
              </w:rPr>
            </w:pPr>
            <w:r w:rsidRPr="002C4269">
              <w:rPr>
                <w:rFonts w:cs="Times New Roman"/>
                <w:color w:val="000000"/>
                <w:szCs w:val="24"/>
              </w:rPr>
              <w:t xml:space="preserve">Paramos sumažinimas ir (arba) paramos susigrąžinimas nuo pradinės pripažinto tinkamu finansuoti kiekvieno atskirai neapdrausto turto vertės. </w:t>
            </w:r>
          </w:p>
        </w:tc>
        <w:tc>
          <w:tcPr>
            <w:tcW w:w="3827" w:type="dxa"/>
          </w:tcPr>
          <w:p w14:paraId="7E8BECF8" w14:textId="395425B2" w:rsidR="006E7A5D" w:rsidRPr="002C4269" w:rsidRDefault="00063823" w:rsidP="00522399">
            <w:pPr>
              <w:jc w:val="both"/>
              <w:rPr>
                <w:rFonts w:cs="Times New Roman"/>
                <w:color w:val="000000" w:themeColor="text1"/>
                <w:szCs w:val="24"/>
              </w:rPr>
            </w:pPr>
            <w:r w:rsidRPr="002C4269">
              <w:rPr>
                <w:rFonts w:cs="Times New Roman"/>
                <w:color w:val="000000" w:themeColor="text1"/>
                <w:szCs w:val="24"/>
              </w:rPr>
              <w:t>Sankcijų metodika</w:t>
            </w:r>
          </w:p>
        </w:tc>
      </w:tr>
      <w:tr w:rsidR="006E7A5D" w:rsidRPr="002C4269" w14:paraId="2494B758" w14:textId="77777777" w:rsidTr="00721116">
        <w:tc>
          <w:tcPr>
            <w:tcW w:w="7225" w:type="dxa"/>
          </w:tcPr>
          <w:p w14:paraId="29CB78C6" w14:textId="24955318" w:rsidR="006E7A5D" w:rsidRPr="002C4269" w:rsidRDefault="0025089A" w:rsidP="00C72971">
            <w:pPr>
              <w:tabs>
                <w:tab w:val="left" w:pos="601"/>
              </w:tabs>
              <w:ind w:right="-57"/>
              <w:jc w:val="both"/>
              <w:rPr>
                <w:rFonts w:cs="Times New Roman"/>
                <w:szCs w:val="24"/>
                <w:shd w:val="clear" w:color="auto" w:fill="FFFFFF"/>
              </w:rPr>
            </w:pPr>
            <w:r w:rsidRPr="002C4269">
              <w:rPr>
                <w:rFonts w:eastAsia="Times New Roman" w:cs="Times New Roman"/>
                <w:color w:val="FFFFFF" w:themeColor="background1"/>
                <w:szCs w:val="24"/>
                <w:lang w:eastAsia="lt-LT"/>
              </w:rPr>
              <w:t xml:space="preserve">19.7 </w:t>
            </w:r>
            <w:r w:rsidR="00C72971" w:rsidRPr="002C4269">
              <w:rPr>
                <w:rFonts w:eastAsia="Times New Roman" w:cs="Times New Roman"/>
                <w:szCs w:val="24"/>
                <w:lang w:eastAsia="lt-LT"/>
              </w:rPr>
              <w:t xml:space="preserve">Nekeisti remiamos veiklos pobūdžio, numatytų investicijų (leidžiami tik su Nacionaline mokėjimo agentūra prie Žemės ūkio ministerijos (toliau – NMA) raštu suderinti projekto keitimai, kai keičiasi investicijos techniniai parametrai), projekto įgyvendinimo sąlygų ir nuosavybės formos, neįkeisti (be rašytinio NMA sutikimo), neparduoti ir kitaip neperduoti kitam asmeniui už paramos lėšas įgytos nuosavybės, nenutraukti projekto veiklos, nekeisti projekto įgyvendinimo vietos nuo paramos paraiškos pateikimo dienos iki projekto kontrolės laikotarpio pabaigos (leidimą įkeisti turtą NMA gali suteikti tik tiems paramos </w:t>
            </w:r>
            <w:r w:rsidR="00C72971" w:rsidRPr="002C4269">
              <w:rPr>
                <w:rFonts w:eastAsia="Times New Roman" w:cs="Times New Roman"/>
                <w:szCs w:val="24"/>
                <w:lang w:eastAsia="lt-LT"/>
              </w:rPr>
              <w:lastRenderedPageBreak/>
              <w:t>gavėjams, kurie paramos paraiškoje kredito įstaigos paskolą įvardijo kaip vieną iš projekto finansavimo šaltinių).</w:t>
            </w:r>
          </w:p>
        </w:tc>
        <w:tc>
          <w:tcPr>
            <w:tcW w:w="3969" w:type="dxa"/>
          </w:tcPr>
          <w:p w14:paraId="7DE4FA53" w14:textId="42620D46" w:rsidR="006E7A5D" w:rsidRPr="002C4269" w:rsidRDefault="006E7A5D" w:rsidP="00522399">
            <w:pPr>
              <w:pStyle w:val="Default"/>
              <w:jc w:val="both"/>
              <w:rPr>
                <w:color w:val="auto"/>
              </w:rPr>
            </w:pPr>
            <w:r w:rsidRPr="002C4269">
              <w:rPr>
                <w:color w:val="auto"/>
              </w:rPr>
              <w:lastRenderedPageBreak/>
              <w:t>Paramos sumažinimas ir (arba) paramos susigrąžinimas 100 proc. nuo paramos sumos</w:t>
            </w:r>
            <w:r w:rsidR="00D74C71">
              <w:rPr>
                <w:color w:val="auto"/>
              </w:rPr>
              <w:t xml:space="preserve"> </w:t>
            </w:r>
            <w:r w:rsidRPr="002C4269">
              <w:rPr>
                <w:color w:val="auto"/>
              </w:rPr>
              <w:t>/ proporcingai laikotarpiui, kuriuo reikalavimai nebuvo įvykdyti, skirtos paramos už parduotą ar kitaip perleistą paramos lėšomis įsigytą turtą dalies susigrąžinimas</w:t>
            </w:r>
            <w:r w:rsidR="00D74C71">
              <w:rPr>
                <w:color w:val="auto"/>
              </w:rPr>
              <w:t xml:space="preserve"> </w:t>
            </w:r>
            <w:r w:rsidRPr="002C4269">
              <w:rPr>
                <w:color w:val="auto"/>
              </w:rPr>
              <w:t>/</w:t>
            </w:r>
            <w:r w:rsidR="00D74C71">
              <w:rPr>
                <w:color w:val="auto"/>
              </w:rPr>
              <w:t xml:space="preserve"> </w:t>
            </w:r>
            <w:r w:rsidRPr="002C4269">
              <w:rPr>
                <w:color w:val="auto"/>
              </w:rPr>
              <w:t xml:space="preserve">proporcingai laikotarpiui, kuriuo reikalavimai </w:t>
            </w:r>
            <w:r w:rsidRPr="002C4269">
              <w:rPr>
                <w:color w:val="auto"/>
              </w:rPr>
              <w:lastRenderedPageBreak/>
              <w:t xml:space="preserve">nebuvo įvykdyti, išmokėtos paramos sumos susigrąžinimas </w:t>
            </w:r>
          </w:p>
        </w:tc>
        <w:tc>
          <w:tcPr>
            <w:tcW w:w="3827" w:type="dxa"/>
          </w:tcPr>
          <w:p w14:paraId="54643D69" w14:textId="11100094" w:rsidR="006E7A5D" w:rsidRPr="002C4269" w:rsidRDefault="00063823" w:rsidP="00522399">
            <w:pPr>
              <w:jc w:val="both"/>
              <w:rPr>
                <w:rFonts w:cs="Times New Roman"/>
                <w:color w:val="000000" w:themeColor="text1"/>
                <w:szCs w:val="24"/>
              </w:rPr>
            </w:pPr>
            <w:r w:rsidRPr="002C4269">
              <w:rPr>
                <w:rFonts w:cs="Times New Roman"/>
                <w:color w:val="000000" w:themeColor="text1"/>
                <w:szCs w:val="24"/>
              </w:rPr>
              <w:lastRenderedPageBreak/>
              <w:t>Sankcijų metodika</w:t>
            </w:r>
          </w:p>
        </w:tc>
      </w:tr>
      <w:tr w:rsidR="00C13EB6" w:rsidRPr="002C4269" w14:paraId="539FA821" w14:textId="77777777" w:rsidTr="00721116">
        <w:tc>
          <w:tcPr>
            <w:tcW w:w="7225" w:type="dxa"/>
          </w:tcPr>
          <w:p w14:paraId="57E99537" w14:textId="45D912D1" w:rsidR="00C13EB6" w:rsidRPr="002C4269" w:rsidRDefault="00721116" w:rsidP="00C13EB6">
            <w:pPr>
              <w:tabs>
                <w:tab w:val="left" w:pos="601"/>
              </w:tabs>
              <w:ind w:right="-57"/>
              <w:jc w:val="both"/>
              <w:rPr>
                <w:rFonts w:eastAsia="Times New Roman" w:cs="Times New Roman"/>
                <w:szCs w:val="24"/>
                <w:lang w:eastAsia="lt-LT"/>
              </w:rPr>
            </w:pPr>
            <w:r w:rsidRPr="002C4269">
              <w:rPr>
                <w:color w:val="FFFFFF" w:themeColor="background1"/>
              </w:rPr>
              <w:t>19.8-9</w:t>
            </w:r>
            <w:r w:rsidR="00C13EB6" w:rsidRPr="002C4269">
              <w:t>Neprieštarauti, kad duomenys apie gaunamą (gautą) paramą būtų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p>
        </w:tc>
        <w:tc>
          <w:tcPr>
            <w:tcW w:w="3969" w:type="dxa"/>
          </w:tcPr>
          <w:p w14:paraId="370E35D3" w14:textId="1752DA3B" w:rsidR="00C13EB6" w:rsidRPr="002C4269" w:rsidRDefault="00C13EB6" w:rsidP="00C13EB6">
            <w:pPr>
              <w:pStyle w:val="Default"/>
              <w:jc w:val="both"/>
              <w:rPr>
                <w:color w:val="auto"/>
              </w:rPr>
            </w:pPr>
            <w:r w:rsidRPr="002C4269">
              <w:t>Sankcijos dydis priklauso nuo nustatyto pažeidimo reikšmingumo, masto, trukmės ir pasikartojimo.</w:t>
            </w:r>
          </w:p>
        </w:tc>
        <w:tc>
          <w:tcPr>
            <w:tcW w:w="3827" w:type="dxa"/>
          </w:tcPr>
          <w:p w14:paraId="3733A723" w14:textId="586A6832" w:rsidR="00C13EB6" w:rsidRPr="002C4269" w:rsidRDefault="00063823" w:rsidP="00C13EB6">
            <w:pPr>
              <w:jc w:val="both"/>
              <w:rPr>
                <w:rFonts w:cs="Times New Roman"/>
                <w:color w:val="000000" w:themeColor="text1"/>
                <w:szCs w:val="24"/>
              </w:rPr>
            </w:pPr>
            <w:r w:rsidRPr="002C4269">
              <w:rPr>
                <w:rFonts w:cs="Times New Roman"/>
                <w:color w:val="000000" w:themeColor="text1"/>
                <w:szCs w:val="24"/>
              </w:rPr>
              <w:t>Sankcijų metodika</w:t>
            </w:r>
          </w:p>
        </w:tc>
      </w:tr>
      <w:tr w:rsidR="006E7A5D" w:rsidRPr="002C4269" w14:paraId="1B7A2F4E" w14:textId="77777777" w:rsidTr="00721116">
        <w:tc>
          <w:tcPr>
            <w:tcW w:w="7225" w:type="dxa"/>
          </w:tcPr>
          <w:p w14:paraId="784A6868" w14:textId="3EDAC421" w:rsidR="006E7A5D" w:rsidRPr="002C4269" w:rsidRDefault="00721116" w:rsidP="00522399">
            <w:pPr>
              <w:tabs>
                <w:tab w:val="left" w:pos="601"/>
              </w:tabs>
              <w:ind w:right="-57"/>
              <w:jc w:val="both"/>
              <w:rPr>
                <w:rFonts w:cs="Times New Roman"/>
                <w:color w:val="000000"/>
                <w:szCs w:val="24"/>
              </w:rPr>
            </w:pPr>
            <w:r w:rsidRPr="002C4269">
              <w:rPr>
                <w:rFonts w:eastAsia="Times New Roman" w:cs="Times New Roman"/>
                <w:color w:val="FFFFFF" w:themeColor="background1"/>
                <w:szCs w:val="24"/>
                <w:lang w:eastAsia="lt-LT"/>
              </w:rPr>
              <w:t>19.10</w:t>
            </w:r>
            <w:r w:rsidR="006E7A5D" w:rsidRPr="002C4269">
              <w:rPr>
                <w:rFonts w:eastAsia="Times New Roman" w:cs="Times New Roman"/>
                <w:szCs w:val="24"/>
                <w:lang w:eastAsia="lt-LT"/>
              </w:rPr>
              <w:t>Pateikti detalų atliktų darbų aprašą ir jų apimtis (su kiekvienu mokėjimo prašymu, kuriame deklaruojamos statybos išlaidos). Baigus numatytus statybos (naujo statinio statybą, statinio rekonstravimą, statinio kapitalinį remontą) ir (arba) statinio ir technologinių inžinerinių sistemų įrengimo darbus, užbaigimo dokumentus teisės aktų nustatyta tvarka įregistruoti informacinėje sistemoje „</w:t>
            </w:r>
            <w:proofErr w:type="spellStart"/>
            <w:r w:rsidR="006E7A5D" w:rsidRPr="002C4269">
              <w:rPr>
                <w:rFonts w:eastAsia="Times New Roman" w:cs="Times New Roman"/>
                <w:szCs w:val="24"/>
                <w:lang w:eastAsia="lt-LT"/>
              </w:rPr>
              <w:t>Infostatyba</w:t>
            </w:r>
            <w:proofErr w:type="spellEnd"/>
            <w:r w:rsidR="006E7A5D" w:rsidRPr="002C4269">
              <w:rPr>
                <w:rFonts w:eastAsia="Times New Roman" w:cs="Times New Roman"/>
                <w:szCs w:val="24"/>
                <w:lang w:eastAsia="lt-LT"/>
              </w:rPr>
              <w:t>“. Jei statybos užbaigimo dokumentų informacinėje sistemoje „</w:t>
            </w:r>
            <w:proofErr w:type="spellStart"/>
            <w:r w:rsidR="006E7A5D" w:rsidRPr="002C4269">
              <w:rPr>
                <w:rFonts w:eastAsia="Times New Roman" w:cs="Times New Roman"/>
                <w:szCs w:val="24"/>
                <w:lang w:eastAsia="lt-LT"/>
              </w:rPr>
              <w:t>Infostatyba</w:t>
            </w:r>
            <w:proofErr w:type="spellEnd"/>
            <w:r w:rsidR="006E7A5D" w:rsidRPr="002C4269">
              <w:rPr>
                <w:rFonts w:eastAsia="Times New Roman" w:cs="Times New Roman"/>
                <w:szCs w:val="24"/>
                <w:lang w:eastAsia="lt-LT"/>
              </w:rPr>
              <w:t>“ pateikti neprivaloma, statybos užbaigimo dokumentai turi būti pateikti NMA ne vėliau kaip kartu su paskutiniuoju mokėjimo prašymu.</w:t>
            </w:r>
          </w:p>
        </w:tc>
        <w:tc>
          <w:tcPr>
            <w:tcW w:w="3969" w:type="dxa"/>
          </w:tcPr>
          <w:p w14:paraId="59945BE2" w14:textId="5973B362" w:rsidR="006E7A5D" w:rsidRPr="002C4269" w:rsidRDefault="006E7A5D" w:rsidP="00522399">
            <w:pPr>
              <w:jc w:val="both"/>
              <w:rPr>
                <w:rFonts w:cs="Times New Roman"/>
                <w:szCs w:val="24"/>
              </w:rPr>
            </w:pPr>
            <w:r w:rsidRPr="002C4269">
              <w:rPr>
                <w:rFonts w:cs="Times New Roman"/>
                <w:szCs w:val="24"/>
              </w:rPr>
              <w:t>Paramos sumažinimas arba susigrąžinimas nuo paramos sumo</w:t>
            </w:r>
            <w:r w:rsidR="00161EE4" w:rsidRPr="002C4269">
              <w:rPr>
                <w:rFonts w:cs="Times New Roman"/>
                <w:szCs w:val="24"/>
              </w:rPr>
              <w:t>s</w:t>
            </w:r>
          </w:p>
          <w:p w14:paraId="2B95E1EB" w14:textId="77777777" w:rsidR="006E7A5D" w:rsidRPr="002C4269" w:rsidRDefault="006E7A5D" w:rsidP="00522399">
            <w:pPr>
              <w:jc w:val="both"/>
              <w:rPr>
                <w:rFonts w:cs="Times New Roman"/>
                <w:color w:val="FF0000"/>
                <w:szCs w:val="24"/>
              </w:rPr>
            </w:pPr>
          </w:p>
          <w:p w14:paraId="3008AEAB" w14:textId="77777777" w:rsidR="006E7A5D" w:rsidRPr="002C4269" w:rsidRDefault="006E7A5D" w:rsidP="00522399">
            <w:pPr>
              <w:jc w:val="both"/>
              <w:rPr>
                <w:rFonts w:cs="Times New Roman"/>
                <w:color w:val="FF0000"/>
                <w:szCs w:val="24"/>
              </w:rPr>
            </w:pPr>
          </w:p>
        </w:tc>
        <w:tc>
          <w:tcPr>
            <w:tcW w:w="3827" w:type="dxa"/>
          </w:tcPr>
          <w:p w14:paraId="582195BC" w14:textId="0B69BA4B" w:rsidR="006E7A5D" w:rsidRPr="002C4269" w:rsidRDefault="00063823" w:rsidP="00522399">
            <w:pPr>
              <w:jc w:val="both"/>
              <w:rPr>
                <w:rFonts w:cs="Times New Roman"/>
                <w:color w:val="000000" w:themeColor="text1"/>
                <w:szCs w:val="24"/>
              </w:rPr>
            </w:pPr>
            <w:r w:rsidRPr="002C4269">
              <w:rPr>
                <w:rFonts w:cs="Times New Roman"/>
                <w:color w:val="000000" w:themeColor="text1"/>
                <w:szCs w:val="24"/>
              </w:rPr>
              <w:t>Sankcijų metodika</w:t>
            </w:r>
          </w:p>
        </w:tc>
      </w:tr>
      <w:tr w:rsidR="006E7A5D" w:rsidRPr="002C4269" w14:paraId="08982C52" w14:textId="77777777" w:rsidTr="00721116">
        <w:tc>
          <w:tcPr>
            <w:tcW w:w="7225" w:type="dxa"/>
          </w:tcPr>
          <w:p w14:paraId="056BAAED" w14:textId="2064297B" w:rsidR="006E7A5D" w:rsidRPr="002C4269" w:rsidRDefault="0025089A" w:rsidP="00522399">
            <w:pPr>
              <w:tabs>
                <w:tab w:val="left" w:pos="601"/>
              </w:tabs>
              <w:ind w:right="-57"/>
              <w:jc w:val="both"/>
              <w:rPr>
                <w:rFonts w:cs="Times New Roman"/>
                <w:color w:val="000000"/>
                <w:szCs w:val="24"/>
                <w:shd w:val="clear" w:color="auto" w:fill="FFFFFF"/>
              </w:rPr>
            </w:pPr>
            <w:r w:rsidRPr="002C4269">
              <w:rPr>
                <w:rFonts w:cs="Times New Roman"/>
                <w:color w:val="FFFFFF" w:themeColor="background1"/>
                <w:szCs w:val="24"/>
                <w:shd w:val="clear" w:color="auto" w:fill="FFFFFF"/>
              </w:rPr>
              <w:t>19.11</w:t>
            </w:r>
            <w:r w:rsidR="006E7A5D" w:rsidRPr="002C4269">
              <w:rPr>
                <w:rFonts w:cs="Times New Roman"/>
                <w:szCs w:val="24"/>
                <w:shd w:val="clear" w:color="auto" w:fill="FFFFFF"/>
              </w:rPr>
              <w:t xml:space="preserve">Užtikrinti, kad </w:t>
            </w:r>
            <w:r w:rsidR="006E7A5D" w:rsidRPr="002C4269">
              <w:rPr>
                <w:rFonts w:eastAsia="Times New Roman" w:cs="Times New Roman"/>
                <w:szCs w:val="24"/>
                <w:lang w:eastAsia="lt-LT"/>
              </w:rPr>
              <w:t>investicijos yra naujos, nenaudotos ir atitinka ES darbo saugos reikalavimus (techninis reglamentas</w:t>
            </w:r>
            <w:r w:rsidR="00D74C71">
              <w:rPr>
                <w:rStyle w:val="FootnoteReference"/>
                <w:rFonts w:eastAsia="Times New Roman" w:cs="Times New Roman"/>
                <w:szCs w:val="24"/>
                <w:lang w:eastAsia="lt-LT"/>
              </w:rPr>
              <w:footnoteReference w:id="4"/>
            </w:r>
            <w:r w:rsidR="00F12DE2" w:rsidRPr="002C4269">
              <w:rPr>
                <w:rFonts w:eastAsia="Times New Roman" w:cs="Times New Roman"/>
                <w:szCs w:val="24"/>
                <w:lang w:eastAsia="lt-LT"/>
              </w:rPr>
              <w:t>) (</w:t>
            </w:r>
            <w:r w:rsidR="006E7A5D" w:rsidRPr="002C4269">
              <w:rPr>
                <w:rFonts w:eastAsia="Times New Roman" w:cs="Times New Roman"/>
                <w:i/>
                <w:szCs w:val="24"/>
                <w:lang w:eastAsia="lt-LT"/>
              </w:rPr>
              <w:t>kai taikoma</w:t>
            </w:r>
            <w:r w:rsidR="00F12DE2" w:rsidRPr="002C4269">
              <w:rPr>
                <w:rFonts w:eastAsia="Times New Roman" w:cs="Times New Roman"/>
                <w:szCs w:val="24"/>
                <w:lang w:eastAsia="lt-LT"/>
              </w:rPr>
              <w:t>)</w:t>
            </w:r>
            <w:r w:rsidR="006E7A5D" w:rsidRPr="002C4269">
              <w:rPr>
                <w:rFonts w:cs="Times New Roman"/>
                <w:szCs w:val="24"/>
                <w:shd w:val="clear" w:color="auto" w:fill="FFFFFF"/>
              </w:rPr>
              <w:t>.</w:t>
            </w:r>
          </w:p>
        </w:tc>
        <w:tc>
          <w:tcPr>
            <w:tcW w:w="3969" w:type="dxa"/>
          </w:tcPr>
          <w:p w14:paraId="0E8908A3" w14:textId="77777777" w:rsidR="006E7A5D" w:rsidRPr="002C4269" w:rsidRDefault="006E7A5D" w:rsidP="00522399">
            <w:pPr>
              <w:pStyle w:val="Default"/>
              <w:jc w:val="both"/>
            </w:pPr>
            <w:r w:rsidRPr="002C4269">
              <w:t>Sankcijos dydis priklauso nuo nustatyto pažeidimo reikšmingumo, masto, trukmės ir pasikartojimo.</w:t>
            </w:r>
          </w:p>
        </w:tc>
        <w:tc>
          <w:tcPr>
            <w:tcW w:w="3827" w:type="dxa"/>
          </w:tcPr>
          <w:p w14:paraId="3A1D1415" w14:textId="4C6DB241" w:rsidR="006E7A5D" w:rsidRPr="002C4269" w:rsidRDefault="00063823" w:rsidP="00522399">
            <w:pPr>
              <w:jc w:val="both"/>
              <w:rPr>
                <w:rFonts w:cs="Times New Roman"/>
                <w:color w:val="000000" w:themeColor="text1"/>
                <w:szCs w:val="24"/>
              </w:rPr>
            </w:pPr>
            <w:r w:rsidRPr="002C4269">
              <w:rPr>
                <w:rFonts w:cs="Times New Roman"/>
                <w:color w:val="000000" w:themeColor="text1"/>
                <w:szCs w:val="24"/>
              </w:rPr>
              <w:t>Sankcijų metodika</w:t>
            </w:r>
          </w:p>
        </w:tc>
      </w:tr>
      <w:tr w:rsidR="006E7A5D" w:rsidRPr="002C4269" w14:paraId="52A4B6A5" w14:textId="77777777" w:rsidTr="00721116">
        <w:tc>
          <w:tcPr>
            <w:tcW w:w="7225" w:type="dxa"/>
          </w:tcPr>
          <w:p w14:paraId="50E8EC3A" w14:textId="1167C555" w:rsidR="006E7A5D" w:rsidRPr="002C4269" w:rsidRDefault="00721116" w:rsidP="00522399">
            <w:pPr>
              <w:tabs>
                <w:tab w:val="left" w:pos="601"/>
              </w:tabs>
              <w:ind w:right="-57"/>
              <w:jc w:val="both"/>
              <w:rPr>
                <w:rFonts w:cs="Times New Roman"/>
                <w:color w:val="000000"/>
                <w:szCs w:val="24"/>
              </w:rPr>
            </w:pPr>
            <w:r w:rsidRPr="002C4269">
              <w:rPr>
                <w:rFonts w:eastAsia="Times New Roman" w:cs="Times New Roman"/>
                <w:color w:val="FFFFFF" w:themeColor="background1"/>
                <w:szCs w:val="24"/>
                <w:lang w:eastAsia="lt-LT"/>
              </w:rPr>
              <w:t>19.12</w:t>
            </w:r>
            <w:r w:rsidR="006E7A5D" w:rsidRPr="002C4269">
              <w:rPr>
                <w:rFonts w:eastAsia="Times New Roman" w:cs="Times New Roman"/>
                <w:szCs w:val="24"/>
                <w:lang w:eastAsia="lt-LT"/>
              </w:rPr>
              <w:t xml:space="preserve">Užtikrinti, kad, įgyvendinus projektą, investicijos atitiks Valstybinės maisto ir veterinarijos tarnybos kontroliuojamus teisės aktų reikalavimus, kai investicijoms yra taikomi tokie reikalavimai. Pažymas apie investicijų atitiktį / neatitiktį Valstybinės maisto ir veterinarijos tarnybos kontroliuojamiems teisės aktų reikalavimams išduoda Valstybinė maisto ir veterinarijos tarnyba </w:t>
            </w:r>
            <w:r w:rsidR="00161EE4" w:rsidRPr="002C4269">
              <w:rPr>
                <w:rFonts w:eastAsia="Times New Roman" w:cs="Times New Roman"/>
                <w:szCs w:val="24"/>
                <w:lang w:eastAsia="lt-LT"/>
              </w:rPr>
              <w:t>NMA</w:t>
            </w:r>
            <w:r w:rsidR="006E7A5D" w:rsidRPr="002C4269">
              <w:rPr>
                <w:rFonts w:eastAsia="Times New Roman" w:cs="Times New Roman"/>
                <w:szCs w:val="24"/>
                <w:lang w:eastAsia="lt-LT"/>
              </w:rPr>
              <w:t xml:space="preserve"> prašymu</w:t>
            </w:r>
            <w:r w:rsidR="006E7A5D" w:rsidRPr="002C4269">
              <w:rPr>
                <w:rFonts w:cs="Times New Roman"/>
                <w:szCs w:val="24"/>
              </w:rPr>
              <w:t>.</w:t>
            </w:r>
          </w:p>
        </w:tc>
        <w:tc>
          <w:tcPr>
            <w:tcW w:w="3969" w:type="dxa"/>
          </w:tcPr>
          <w:p w14:paraId="12BB4DE1" w14:textId="77777777" w:rsidR="006E7A5D" w:rsidRPr="002C4269" w:rsidRDefault="006E7A5D" w:rsidP="00522399">
            <w:pPr>
              <w:pStyle w:val="Default"/>
              <w:jc w:val="both"/>
            </w:pPr>
            <w:r w:rsidRPr="002C4269">
              <w:t>Sankcijos dydis priklauso nuo nustatyto pažeidimo reikšmingumo, masto, trukmės ir pasikartojimo.</w:t>
            </w:r>
          </w:p>
        </w:tc>
        <w:tc>
          <w:tcPr>
            <w:tcW w:w="3827" w:type="dxa"/>
          </w:tcPr>
          <w:p w14:paraId="36A77E4A" w14:textId="1C4A2E28" w:rsidR="006E7A5D" w:rsidRPr="002C4269" w:rsidRDefault="00063823" w:rsidP="00522399">
            <w:pPr>
              <w:jc w:val="both"/>
              <w:rPr>
                <w:rFonts w:cs="Times New Roman"/>
                <w:color w:val="000000" w:themeColor="text1"/>
                <w:szCs w:val="24"/>
              </w:rPr>
            </w:pPr>
            <w:r w:rsidRPr="002C4269">
              <w:rPr>
                <w:rFonts w:cs="Times New Roman"/>
                <w:color w:val="000000" w:themeColor="text1"/>
                <w:szCs w:val="24"/>
              </w:rPr>
              <w:t>Sankcijų metodika</w:t>
            </w:r>
          </w:p>
        </w:tc>
      </w:tr>
      <w:tr w:rsidR="00C13EB6" w:rsidRPr="002C4269" w14:paraId="11F2F582" w14:textId="77777777" w:rsidTr="00721116">
        <w:tc>
          <w:tcPr>
            <w:tcW w:w="7225" w:type="dxa"/>
          </w:tcPr>
          <w:p w14:paraId="5017D2E3" w14:textId="0E236CE1" w:rsidR="00C13EB6" w:rsidRPr="002C4269" w:rsidRDefault="00721116" w:rsidP="00C13EB6">
            <w:pPr>
              <w:tabs>
                <w:tab w:val="left" w:pos="601"/>
              </w:tabs>
              <w:ind w:right="-57"/>
              <w:jc w:val="both"/>
              <w:rPr>
                <w:rFonts w:eastAsia="Times New Roman" w:cs="Times New Roman"/>
                <w:szCs w:val="24"/>
                <w:lang w:eastAsia="lt-LT"/>
              </w:rPr>
            </w:pPr>
            <w:r w:rsidRPr="002C4269">
              <w:rPr>
                <w:color w:val="FFFFFF" w:themeColor="background1"/>
              </w:rPr>
              <w:t>19.13</w:t>
            </w:r>
            <w:r w:rsidR="00C13EB6" w:rsidRPr="002C4269">
              <w:t xml:space="preserve">Nuo paramos paraiškos pateikimo dienos iki projekto kontrolės laikotarpio pabaigos užtikrinti, kad nebus neteisėtai sukurtos tokiai </w:t>
            </w:r>
            <w:r w:rsidR="00C13EB6" w:rsidRPr="002C4269">
              <w:lastRenderedPageBreak/>
              <w:t>paramai gauti reikalingos sąlygos (remiantis Galimai neteisėtų sąlygų gauti paramą nustatymo metodika</w:t>
            </w:r>
            <w:r w:rsidR="00B262FD">
              <w:rPr>
                <w:rStyle w:val="FootnoteReference"/>
              </w:rPr>
              <w:footnoteReference w:id="5"/>
            </w:r>
            <w:r w:rsidR="00C13EB6" w:rsidRPr="002C4269">
              <w:t>).</w:t>
            </w:r>
          </w:p>
        </w:tc>
        <w:tc>
          <w:tcPr>
            <w:tcW w:w="3969" w:type="dxa"/>
          </w:tcPr>
          <w:p w14:paraId="3D0225FB" w14:textId="0D485138" w:rsidR="00C13EB6" w:rsidRPr="002C4269" w:rsidRDefault="00C13EB6" w:rsidP="00C13EB6">
            <w:pPr>
              <w:pStyle w:val="Default"/>
              <w:jc w:val="both"/>
            </w:pPr>
            <w:r w:rsidRPr="002C4269">
              <w:lastRenderedPageBreak/>
              <w:t>Paramos sumažinimas ir (arba) paramos susigrąžinimas 100 proc. nuo paramos sumos.</w:t>
            </w:r>
          </w:p>
        </w:tc>
        <w:tc>
          <w:tcPr>
            <w:tcW w:w="3827" w:type="dxa"/>
          </w:tcPr>
          <w:p w14:paraId="1677EE05" w14:textId="049D1936" w:rsidR="00C13EB6" w:rsidRPr="002C4269" w:rsidRDefault="00063823" w:rsidP="00C13EB6">
            <w:pPr>
              <w:jc w:val="both"/>
              <w:rPr>
                <w:rFonts w:cs="Times New Roman"/>
                <w:color w:val="000000" w:themeColor="text1"/>
                <w:szCs w:val="24"/>
              </w:rPr>
            </w:pPr>
            <w:r w:rsidRPr="002C4269">
              <w:rPr>
                <w:rFonts w:cs="Times New Roman"/>
                <w:color w:val="000000" w:themeColor="text1"/>
                <w:szCs w:val="24"/>
              </w:rPr>
              <w:t>Sankcijų metodika</w:t>
            </w:r>
          </w:p>
        </w:tc>
      </w:tr>
      <w:tr w:rsidR="00C13EB6" w:rsidRPr="002C4269" w14:paraId="246BD94C" w14:textId="77777777" w:rsidTr="00721116">
        <w:tc>
          <w:tcPr>
            <w:tcW w:w="7225" w:type="dxa"/>
          </w:tcPr>
          <w:p w14:paraId="12CB1314" w14:textId="377F72F1" w:rsidR="00C13EB6" w:rsidRPr="002C4269" w:rsidRDefault="00C13EB6" w:rsidP="00C13EB6">
            <w:pPr>
              <w:tabs>
                <w:tab w:val="left" w:pos="601"/>
              </w:tabs>
              <w:ind w:right="-57"/>
              <w:jc w:val="both"/>
              <w:rPr>
                <w:rFonts w:eastAsia="Times New Roman" w:cs="Times New Roman"/>
                <w:szCs w:val="24"/>
                <w:lang w:eastAsia="lt-LT"/>
              </w:rPr>
            </w:pPr>
            <w:r w:rsidRPr="002C4269">
              <w:rPr>
                <w:color w:val="FFFFFF" w:themeColor="background1"/>
              </w:rPr>
              <w:t xml:space="preserve">19.14 </w:t>
            </w:r>
            <w:r w:rsidRPr="002C4269">
              <w:t>Įgyvendinus projektą atitikti ekonominį gyvybingumą apibūdinančių rodiklių reikšmes, nustatytas Ekonominio gyvybingumo taisyklėse</w:t>
            </w:r>
            <w:r w:rsidR="00B262FD">
              <w:rPr>
                <w:rStyle w:val="FootnoteReference"/>
              </w:rPr>
              <w:footnoteReference w:id="6"/>
            </w:r>
            <w:r w:rsidRPr="002C4269">
              <w:t>.</w:t>
            </w:r>
          </w:p>
        </w:tc>
        <w:tc>
          <w:tcPr>
            <w:tcW w:w="3969" w:type="dxa"/>
          </w:tcPr>
          <w:p w14:paraId="13A7A8A8" w14:textId="6266142F" w:rsidR="00C13EB6" w:rsidRPr="002C4269" w:rsidRDefault="00C13EB6" w:rsidP="00C13EB6">
            <w:pPr>
              <w:pStyle w:val="Default"/>
              <w:jc w:val="both"/>
            </w:pPr>
            <w:r w:rsidRPr="002C4269">
              <w:t>Paramos susigrąžinimas.</w:t>
            </w:r>
          </w:p>
        </w:tc>
        <w:tc>
          <w:tcPr>
            <w:tcW w:w="3827" w:type="dxa"/>
          </w:tcPr>
          <w:p w14:paraId="21FDE5F6" w14:textId="49BBC852" w:rsidR="00C13EB6" w:rsidRPr="002C4269" w:rsidRDefault="00063823" w:rsidP="00C13EB6">
            <w:pPr>
              <w:jc w:val="both"/>
              <w:rPr>
                <w:rFonts w:cs="Times New Roman"/>
                <w:color w:val="000000" w:themeColor="text1"/>
                <w:szCs w:val="24"/>
              </w:rPr>
            </w:pPr>
            <w:r w:rsidRPr="002C4269">
              <w:rPr>
                <w:rFonts w:cs="Times New Roman"/>
                <w:color w:val="000000" w:themeColor="text1"/>
                <w:szCs w:val="24"/>
              </w:rPr>
              <w:t>Sankcijų metodika</w:t>
            </w:r>
          </w:p>
        </w:tc>
      </w:tr>
      <w:tr w:rsidR="00C13EB6" w:rsidRPr="002C4269" w14:paraId="4B1E5D60" w14:textId="77777777" w:rsidTr="00721116">
        <w:tc>
          <w:tcPr>
            <w:tcW w:w="7225" w:type="dxa"/>
          </w:tcPr>
          <w:p w14:paraId="53841091" w14:textId="0E6C4741" w:rsidR="00C13EB6" w:rsidRPr="002C4269" w:rsidRDefault="00C13EB6" w:rsidP="00C13EB6">
            <w:pPr>
              <w:tabs>
                <w:tab w:val="left" w:pos="601"/>
              </w:tabs>
              <w:ind w:right="-57"/>
              <w:jc w:val="both"/>
              <w:rPr>
                <w:rFonts w:eastAsia="Times New Roman" w:cs="Times New Roman"/>
                <w:szCs w:val="24"/>
                <w:lang w:eastAsia="lt-LT"/>
              </w:rPr>
            </w:pPr>
            <w:r w:rsidRPr="002C4269">
              <w:rPr>
                <w:color w:val="FFFFFF" w:themeColor="background1"/>
              </w:rPr>
              <w:t xml:space="preserve">19.15 </w:t>
            </w:r>
            <w:r w:rsidRPr="002C4269">
              <w:t xml:space="preserve">Visą projekto įgyvendinimo ir kontrolės laikotarpį nepadaryti veikų,  nurodytų Reglamento (ES) Nr. 508/2014 10 straipsnio 1 dalies d punkte ir Reglamento (ES) Nr. 508/2014 10 straipsnio 3 dalyje. </w:t>
            </w:r>
          </w:p>
        </w:tc>
        <w:tc>
          <w:tcPr>
            <w:tcW w:w="3969" w:type="dxa"/>
          </w:tcPr>
          <w:p w14:paraId="0C7C680A" w14:textId="6AF647DA" w:rsidR="00C13EB6" w:rsidRPr="002C4269" w:rsidRDefault="00C13EB6" w:rsidP="00C13EB6">
            <w:pPr>
              <w:pStyle w:val="Default"/>
              <w:jc w:val="both"/>
            </w:pPr>
            <w:r w:rsidRPr="002C4269">
              <w:t>Sankcijos dydis priklauso nuo nustatyto pažeidimo reikšmingumo, masto, trukmės ir pasikartojimo.</w:t>
            </w:r>
          </w:p>
        </w:tc>
        <w:tc>
          <w:tcPr>
            <w:tcW w:w="3827" w:type="dxa"/>
          </w:tcPr>
          <w:p w14:paraId="1BB0078D" w14:textId="6F1D5F50" w:rsidR="00C13EB6" w:rsidRPr="002C4269" w:rsidRDefault="00063823" w:rsidP="00C13EB6">
            <w:pPr>
              <w:jc w:val="both"/>
              <w:rPr>
                <w:rFonts w:cs="Times New Roman"/>
                <w:color w:val="000000" w:themeColor="text1"/>
                <w:szCs w:val="24"/>
              </w:rPr>
            </w:pPr>
            <w:r w:rsidRPr="002C4269">
              <w:rPr>
                <w:rFonts w:cs="Times New Roman"/>
                <w:color w:val="000000" w:themeColor="text1"/>
                <w:szCs w:val="24"/>
              </w:rPr>
              <w:t>Sankcijų metodika</w:t>
            </w:r>
          </w:p>
        </w:tc>
      </w:tr>
      <w:tr w:rsidR="006E7A5D" w:rsidRPr="002C4269" w14:paraId="6351135D" w14:textId="77777777" w:rsidTr="00721116">
        <w:tc>
          <w:tcPr>
            <w:tcW w:w="7225" w:type="dxa"/>
          </w:tcPr>
          <w:p w14:paraId="13FFC903" w14:textId="17BE809B" w:rsidR="006E7A5D" w:rsidRPr="002C4269" w:rsidRDefault="00F12DE2" w:rsidP="00522399">
            <w:pPr>
              <w:tabs>
                <w:tab w:val="left" w:pos="601"/>
              </w:tabs>
              <w:ind w:right="-57"/>
              <w:jc w:val="both"/>
              <w:rPr>
                <w:rFonts w:cs="Times New Roman"/>
                <w:color w:val="000000"/>
                <w:szCs w:val="24"/>
                <w:shd w:val="clear" w:color="auto" w:fill="FFFFFF"/>
              </w:rPr>
            </w:pPr>
            <w:r w:rsidRPr="002C4269">
              <w:rPr>
                <w:rFonts w:cs="Times New Roman"/>
                <w:color w:val="FFFFFF" w:themeColor="background1"/>
                <w:szCs w:val="24"/>
                <w:shd w:val="clear" w:color="auto" w:fill="FFFFFF"/>
              </w:rPr>
              <w:t xml:space="preserve">19.16 </w:t>
            </w:r>
            <w:r w:rsidR="006E7A5D" w:rsidRPr="002C4269">
              <w:rPr>
                <w:rFonts w:cs="Times New Roman"/>
                <w:szCs w:val="24"/>
                <w:shd w:val="clear" w:color="auto" w:fill="FFFFFF"/>
              </w:rPr>
              <w:t xml:space="preserve">Užtikrinti, kad pareiškėjui būtų </w:t>
            </w:r>
            <w:r w:rsidR="006E7A5D" w:rsidRPr="002C4269">
              <w:rPr>
                <w:rFonts w:eastAsia="Times New Roman" w:cs="Times New Roman"/>
                <w:szCs w:val="24"/>
                <w:lang w:eastAsia="lt-LT"/>
              </w:rPr>
              <w:t>suteiktas veterinarinis patvirtinimas ar registravimas, arba įsipareigoti, kad veterinarinis patvirtinimas ar registravimas jam bus suteiktas ne vėliau kaip iki paskutinio mokėjimo prašymo pateikimo dienos</w:t>
            </w:r>
            <w:r w:rsidR="006E7A5D" w:rsidRPr="002C4269">
              <w:rPr>
                <w:rFonts w:cs="Times New Roman"/>
                <w:szCs w:val="24"/>
                <w:shd w:val="clear" w:color="auto" w:fill="FFFFFF"/>
              </w:rPr>
              <w:t>.</w:t>
            </w:r>
          </w:p>
        </w:tc>
        <w:tc>
          <w:tcPr>
            <w:tcW w:w="3969" w:type="dxa"/>
          </w:tcPr>
          <w:p w14:paraId="56CF2F3C" w14:textId="77777777" w:rsidR="006E7A5D" w:rsidRPr="002C4269" w:rsidRDefault="006E7A5D" w:rsidP="00522399">
            <w:pPr>
              <w:pStyle w:val="Default"/>
              <w:jc w:val="both"/>
            </w:pPr>
            <w:r w:rsidRPr="002C4269">
              <w:t>Sankcijos dydis priklauso nuo nustatyto pažeidimo reikšmingumo, masto, trukmės ir pasikartojimo.</w:t>
            </w:r>
          </w:p>
        </w:tc>
        <w:tc>
          <w:tcPr>
            <w:tcW w:w="3827" w:type="dxa"/>
          </w:tcPr>
          <w:p w14:paraId="65540502" w14:textId="721D39CC" w:rsidR="006E7A5D" w:rsidRPr="002C4269" w:rsidRDefault="00063823" w:rsidP="00522399">
            <w:pPr>
              <w:jc w:val="both"/>
              <w:rPr>
                <w:rFonts w:cs="Times New Roman"/>
                <w:color w:val="000000" w:themeColor="text1"/>
                <w:szCs w:val="24"/>
              </w:rPr>
            </w:pPr>
            <w:r w:rsidRPr="002C4269">
              <w:rPr>
                <w:rFonts w:cs="Times New Roman"/>
                <w:color w:val="000000" w:themeColor="text1"/>
                <w:szCs w:val="24"/>
              </w:rPr>
              <w:t>Sankcijų metodika</w:t>
            </w:r>
          </w:p>
        </w:tc>
      </w:tr>
      <w:tr w:rsidR="006E7A5D" w:rsidRPr="002C4269" w14:paraId="0D9DA037" w14:textId="77777777" w:rsidTr="00721116">
        <w:tc>
          <w:tcPr>
            <w:tcW w:w="7225" w:type="dxa"/>
          </w:tcPr>
          <w:p w14:paraId="7C91B472" w14:textId="2C3D683A" w:rsidR="006E7A5D" w:rsidRPr="002C4269" w:rsidRDefault="00F07A15" w:rsidP="00522399">
            <w:pPr>
              <w:tabs>
                <w:tab w:val="left" w:pos="601"/>
              </w:tabs>
              <w:ind w:right="-57"/>
              <w:jc w:val="both"/>
              <w:rPr>
                <w:rFonts w:cs="Times New Roman"/>
                <w:color w:val="FF0000"/>
                <w:szCs w:val="24"/>
                <w:shd w:val="clear" w:color="auto" w:fill="FFFFFF"/>
              </w:rPr>
            </w:pPr>
            <w:r w:rsidRPr="002C4269">
              <w:rPr>
                <w:rFonts w:cs="Times New Roman"/>
                <w:color w:val="FFFFFF" w:themeColor="background1"/>
                <w:szCs w:val="24"/>
                <w:shd w:val="clear" w:color="auto" w:fill="FFFFFF"/>
              </w:rPr>
              <w:t xml:space="preserve">13 </w:t>
            </w:r>
            <w:r w:rsidR="006E7A5D" w:rsidRPr="002C4269">
              <w:rPr>
                <w:rFonts w:cs="Times New Roman"/>
                <w:color w:val="000000"/>
                <w:szCs w:val="24"/>
                <w:shd w:val="clear" w:color="auto" w:fill="FFFFFF"/>
              </w:rPr>
              <w:t>Projekto įgyvendinimo laikotarpis negali viršyti 24 mėnesių nuo paramos sutarties pasirašymo dienos. Projektai, kuriems skiriama parama, turi būti įgyvendinti ir paramos lėšos išmokėtos iki 2023 m. gruodžio 31</w:t>
            </w:r>
            <w:r w:rsidR="00B262FD">
              <w:rPr>
                <w:rFonts w:cs="Times New Roman"/>
                <w:color w:val="000000"/>
                <w:szCs w:val="24"/>
                <w:shd w:val="clear" w:color="auto" w:fill="FFFFFF"/>
              </w:rPr>
              <w:t> </w:t>
            </w:r>
            <w:r w:rsidR="006E7A5D" w:rsidRPr="002C4269">
              <w:rPr>
                <w:rFonts w:cs="Times New Roman"/>
                <w:color w:val="000000"/>
                <w:szCs w:val="24"/>
                <w:shd w:val="clear" w:color="auto" w:fill="FFFFFF"/>
              </w:rPr>
              <w:t>d.</w:t>
            </w:r>
            <w:r w:rsidR="005D55EB" w:rsidRPr="002C4269">
              <w:rPr>
                <w:rFonts w:cs="Times New Roman"/>
                <w:color w:val="000000"/>
                <w:szCs w:val="24"/>
                <w:shd w:val="clear" w:color="auto" w:fill="FFFFFF"/>
              </w:rPr>
              <w:t xml:space="preserve"> </w:t>
            </w:r>
            <w:r w:rsidRPr="002C4269">
              <w:rPr>
                <w:rFonts w:cs="Times New Roman"/>
                <w:color w:val="000000"/>
                <w:szCs w:val="24"/>
                <w:shd w:val="clear" w:color="auto" w:fill="FFFFFF"/>
              </w:rPr>
              <w:t>S</w:t>
            </w:r>
            <w:r w:rsidRPr="002C4269">
              <w:rPr>
                <w:color w:val="000000"/>
              </w:rPr>
              <w:t>iekdamas, kad paramos lėšos būtų išmokėtos iki 2023 m. gruodžio 31 d., paramos gavėjas turi suplanuoti projekto veiklas taip, kad jis pateiktų NMA paskutinį mokėjimo prašymą ne vėliau kaip likus 3 mėnesiams iki 2023 m. gruodžio 31 d.</w:t>
            </w:r>
          </w:p>
        </w:tc>
        <w:tc>
          <w:tcPr>
            <w:tcW w:w="3969" w:type="dxa"/>
          </w:tcPr>
          <w:p w14:paraId="7CC46BAD" w14:textId="77777777" w:rsidR="006E7A5D" w:rsidRPr="002C4269" w:rsidRDefault="006E7A5D" w:rsidP="00522399">
            <w:pPr>
              <w:pStyle w:val="Default"/>
              <w:jc w:val="both"/>
            </w:pPr>
            <w:r w:rsidRPr="002C4269">
              <w:t>Sankcijos dydis priklauso nuo nustatyto pažeidimo reikšmingumo, masto, trukmės ir pasikartojimo.</w:t>
            </w:r>
          </w:p>
        </w:tc>
        <w:tc>
          <w:tcPr>
            <w:tcW w:w="3827" w:type="dxa"/>
          </w:tcPr>
          <w:p w14:paraId="1663CC34" w14:textId="25773030" w:rsidR="006E7A5D" w:rsidRPr="002C4269" w:rsidRDefault="00063823" w:rsidP="00522399">
            <w:pPr>
              <w:jc w:val="both"/>
              <w:rPr>
                <w:rFonts w:cs="Times New Roman"/>
                <w:color w:val="000000" w:themeColor="text1"/>
                <w:szCs w:val="24"/>
              </w:rPr>
            </w:pPr>
            <w:r w:rsidRPr="002C4269">
              <w:rPr>
                <w:rFonts w:cs="Times New Roman"/>
                <w:color w:val="000000" w:themeColor="text1"/>
                <w:szCs w:val="24"/>
              </w:rPr>
              <w:t>Sankcijų metodika</w:t>
            </w:r>
          </w:p>
        </w:tc>
      </w:tr>
      <w:tr w:rsidR="006E7A5D" w:rsidRPr="002C4269" w14:paraId="76DFA62A" w14:textId="77777777" w:rsidTr="00721116">
        <w:trPr>
          <w:trHeight w:val="2692"/>
        </w:trPr>
        <w:tc>
          <w:tcPr>
            <w:tcW w:w="7225" w:type="dxa"/>
          </w:tcPr>
          <w:p w14:paraId="73180FBB" w14:textId="5565A831" w:rsidR="006E7A5D" w:rsidRPr="002C4269" w:rsidRDefault="00F07A15" w:rsidP="00522399">
            <w:pPr>
              <w:tabs>
                <w:tab w:val="left" w:pos="601"/>
              </w:tabs>
              <w:ind w:right="-57"/>
              <w:jc w:val="both"/>
              <w:rPr>
                <w:rFonts w:cs="Times New Roman"/>
                <w:color w:val="000000"/>
                <w:szCs w:val="24"/>
                <w:shd w:val="clear" w:color="auto" w:fill="FFFFFF"/>
              </w:rPr>
            </w:pPr>
            <w:r w:rsidRPr="002C4269">
              <w:rPr>
                <w:rFonts w:cs="Times New Roman"/>
                <w:color w:val="FFFFFF" w:themeColor="background1"/>
                <w:szCs w:val="24"/>
                <w:shd w:val="clear" w:color="auto" w:fill="FFFFFF"/>
              </w:rPr>
              <w:lastRenderedPageBreak/>
              <w:t xml:space="preserve">14 </w:t>
            </w:r>
            <w:r w:rsidR="006E7A5D" w:rsidRPr="002C4269">
              <w:rPr>
                <w:rFonts w:cs="Times New Roman"/>
                <w:szCs w:val="24"/>
                <w:shd w:val="clear" w:color="auto" w:fill="FFFFFF"/>
              </w:rPr>
              <w:t xml:space="preserve">Kai </w:t>
            </w:r>
            <w:r w:rsidR="006E7A5D" w:rsidRPr="002C4269">
              <w:rPr>
                <w:rFonts w:cs="Times New Roman"/>
                <w:szCs w:val="24"/>
              </w:rPr>
              <w:t xml:space="preserve">pareiškėjo veiklai, kuriai prašoma paramos, vadovaujantis Lietuvos Respublikos planuojamos ūkinės veiklos poveikio aplinkai vertinimo įstatymu, yra privalomas poveikio aplinkai vertinimas ar atranka dėl privalomo poveikio aplinkai vertinimo, su paraiška turi būti pateikiama </w:t>
            </w:r>
            <w:r w:rsidRPr="002C4269">
              <w:rPr>
                <w:rFonts w:cs="Times New Roman"/>
                <w:szCs w:val="24"/>
              </w:rPr>
              <w:t>NMA</w:t>
            </w:r>
            <w:r w:rsidR="006E7A5D" w:rsidRPr="002C4269">
              <w:rPr>
                <w:rFonts w:cs="Times New Roman"/>
                <w:szCs w:val="24"/>
              </w:rPr>
              <w:t xml:space="preserve"> išvada, kad numatoma įgyvendinti projekto veikla leistina pasirinktoje vietoje, arba išvada, kad poveikio aplinkai vertinimo atlikti neprivaloma (įskaitant planų ar programų įgyvendinimo poveikio įsteigtoms ar potencialioms „</w:t>
            </w:r>
            <w:proofErr w:type="spellStart"/>
            <w:r w:rsidR="006E7A5D" w:rsidRPr="002C4269">
              <w:rPr>
                <w:rFonts w:cs="Times New Roman"/>
                <w:szCs w:val="24"/>
              </w:rPr>
              <w:t>Natura</w:t>
            </w:r>
            <w:proofErr w:type="spellEnd"/>
            <w:r w:rsidR="006E7A5D" w:rsidRPr="002C4269">
              <w:rPr>
                <w:rFonts w:cs="Times New Roman"/>
                <w:szCs w:val="24"/>
              </w:rPr>
              <w:t xml:space="preserve"> 2000“ teritorijoms reikalingumo išvadą, jeigu projektas gali daryti įtaką „</w:t>
            </w:r>
            <w:proofErr w:type="spellStart"/>
            <w:r w:rsidR="006E7A5D" w:rsidRPr="002C4269">
              <w:rPr>
                <w:rFonts w:cs="Times New Roman"/>
                <w:szCs w:val="24"/>
              </w:rPr>
              <w:t>Natura</w:t>
            </w:r>
            <w:proofErr w:type="spellEnd"/>
            <w:r w:rsidR="006E7A5D" w:rsidRPr="002C4269">
              <w:rPr>
                <w:rFonts w:cs="Times New Roman"/>
                <w:szCs w:val="24"/>
              </w:rPr>
              <w:t xml:space="preserve"> 2000“ teritorijai).</w:t>
            </w:r>
          </w:p>
        </w:tc>
        <w:tc>
          <w:tcPr>
            <w:tcW w:w="3969" w:type="dxa"/>
          </w:tcPr>
          <w:p w14:paraId="7D206A26" w14:textId="77777777" w:rsidR="006E7A5D" w:rsidRPr="002C4269" w:rsidRDefault="006E7A5D" w:rsidP="00522399">
            <w:pPr>
              <w:jc w:val="both"/>
              <w:rPr>
                <w:rFonts w:cs="Times New Roman"/>
                <w:color w:val="000000"/>
                <w:szCs w:val="24"/>
              </w:rPr>
            </w:pPr>
            <w:r w:rsidRPr="002C4269">
              <w:rPr>
                <w:rFonts w:cs="Times New Roman"/>
                <w:color w:val="000000"/>
                <w:szCs w:val="24"/>
              </w:rPr>
              <w:t>Sankcijos dydis priklauso nuo nustatyto pažeidimo reikšmingumo, masto, trukmės ir pasikartojimo</w:t>
            </w:r>
            <w:r w:rsidRPr="002C4269">
              <w:rPr>
                <w:rFonts w:cs="Times New Roman"/>
                <w:szCs w:val="24"/>
              </w:rPr>
              <w:t>.</w:t>
            </w:r>
          </w:p>
        </w:tc>
        <w:tc>
          <w:tcPr>
            <w:tcW w:w="3827" w:type="dxa"/>
          </w:tcPr>
          <w:p w14:paraId="5F951F53" w14:textId="1FF87327" w:rsidR="006E7A5D" w:rsidRPr="002C4269" w:rsidRDefault="00063823" w:rsidP="00522399">
            <w:pPr>
              <w:jc w:val="both"/>
              <w:rPr>
                <w:rFonts w:cs="Times New Roman"/>
                <w:color w:val="000000" w:themeColor="text1"/>
                <w:szCs w:val="24"/>
              </w:rPr>
            </w:pPr>
            <w:r w:rsidRPr="002C4269">
              <w:rPr>
                <w:rFonts w:cs="Times New Roman"/>
                <w:color w:val="000000" w:themeColor="text1"/>
                <w:szCs w:val="24"/>
              </w:rPr>
              <w:t>Sankcijų metodika</w:t>
            </w:r>
          </w:p>
        </w:tc>
      </w:tr>
      <w:tr w:rsidR="00C13EB6" w:rsidRPr="002C4269" w14:paraId="0B8AE062" w14:textId="77777777" w:rsidTr="00063823">
        <w:trPr>
          <w:trHeight w:val="1448"/>
        </w:trPr>
        <w:tc>
          <w:tcPr>
            <w:tcW w:w="7225" w:type="dxa"/>
          </w:tcPr>
          <w:p w14:paraId="172D194E" w14:textId="71B7FB71" w:rsidR="00C13EB6" w:rsidRPr="002C4269" w:rsidRDefault="00721116" w:rsidP="00063823">
            <w:pPr>
              <w:tabs>
                <w:tab w:val="left" w:pos="601"/>
              </w:tabs>
              <w:ind w:right="-57"/>
              <w:jc w:val="both"/>
              <w:rPr>
                <w:rFonts w:cs="Times New Roman"/>
                <w:color w:val="4472C4" w:themeColor="accent1"/>
                <w:szCs w:val="24"/>
                <w:shd w:val="clear" w:color="auto" w:fill="FFFFFF"/>
              </w:rPr>
            </w:pPr>
            <w:r w:rsidRPr="002C4269">
              <w:rPr>
                <w:rFonts w:cs="Times New Roman"/>
                <w:color w:val="FFFFFF" w:themeColor="background1"/>
                <w:szCs w:val="24"/>
                <w:shd w:val="clear" w:color="auto" w:fill="FFFFFF"/>
              </w:rPr>
              <w:t>15.1</w:t>
            </w:r>
            <w:r w:rsidR="008C5297" w:rsidRPr="002C4269">
              <w:rPr>
                <w:rFonts w:cs="Times New Roman"/>
                <w:szCs w:val="24"/>
                <w:shd w:val="clear" w:color="auto" w:fill="FFFFFF"/>
              </w:rPr>
              <w:t>Užtikrinti, kad užaugintos ir realizuotos akvakultūros produkcijos kiekis po projekto įgyvendinimo padidėja ne mažiau kaip 250 tonų per metus. Rezultatas turi būti pasiektas bent per vienus kalendorinius metus iš trejų kalendorinių metų, einančių po projekto įgyvendinimo pabaigos metų.</w:t>
            </w:r>
          </w:p>
        </w:tc>
        <w:tc>
          <w:tcPr>
            <w:tcW w:w="3969" w:type="dxa"/>
          </w:tcPr>
          <w:p w14:paraId="20D824C8" w14:textId="3B659CF8" w:rsidR="00C13EB6" w:rsidRPr="002C4269" w:rsidRDefault="008C5297" w:rsidP="00063823">
            <w:pPr>
              <w:jc w:val="both"/>
              <w:rPr>
                <w:rFonts w:cs="Times New Roman"/>
                <w:color w:val="000000"/>
                <w:szCs w:val="24"/>
              </w:rPr>
            </w:pPr>
            <w:r w:rsidRPr="002C4269">
              <w:rPr>
                <w:rFonts w:cs="Times New Roman"/>
                <w:color w:val="000000"/>
                <w:szCs w:val="24"/>
              </w:rPr>
              <w:t>Paramos sumažinimas ir (arba) susigrąžinimas nuo paramos sumos.</w:t>
            </w:r>
          </w:p>
        </w:tc>
        <w:tc>
          <w:tcPr>
            <w:tcW w:w="3827" w:type="dxa"/>
          </w:tcPr>
          <w:p w14:paraId="6545B186" w14:textId="6AFD09F0" w:rsidR="00C13EB6" w:rsidRPr="002C4269" w:rsidRDefault="00063823" w:rsidP="00063823">
            <w:pPr>
              <w:jc w:val="both"/>
              <w:rPr>
                <w:rFonts w:cs="Times New Roman"/>
                <w:color w:val="000000" w:themeColor="text1"/>
                <w:szCs w:val="24"/>
              </w:rPr>
            </w:pPr>
            <w:r w:rsidRPr="002C4269">
              <w:rPr>
                <w:rFonts w:cs="Times New Roman"/>
                <w:color w:val="000000" w:themeColor="text1"/>
                <w:szCs w:val="24"/>
              </w:rPr>
              <w:t>Sankcijų metodika</w:t>
            </w:r>
          </w:p>
        </w:tc>
      </w:tr>
      <w:tr w:rsidR="006E7A5D" w:rsidRPr="002C4269" w14:paraId="5FC97396" w14:textId="77777777" w:rsidTr="00721116">
        <w:tc>
          <w:tcPr>
            <w:tcW w:w="7225" w:type="dxa"/>
          </w:tcPr>
          <w:p w14:paraId="7CF6927D" w14:textId="52CE9C73" w:rsidR="006E7A5D" w:rsidRPr="002C4269" w:rsidRDefault="00721116" w:rsidP="00522399">
            <w:pPr>
              <w:tabs>
                <w:tab w:val="left" w:pos="601"/>
              </w:tabs>
              <w:ind w:right="-57"/>
              <w:jc w:val="both"/>
              <w:rPr>
                <w:rFonts w:cs="Times New Roman"/>
                <w:szCs w:val="24"/>
              </w:rPr>
            </w:pPr>
            <w:r w:rsidRPr="002C4269">
              <w:rPr>
                <w:rFonts w:cs="Times New Roman"/>
                <w:color w:val="FFFFFF" w:themeColor="background1"/>
                <w:szCs w:val="24"/>
              </w:rPr>
              <w:t>22.3</w:t>
            </w:r>
            <w:r w:rsidR="006E7A5D" w:rsidRPr="002C4269">
              <w:rPr>
                <w:rFonts w:cs="Times New Roman"/>
                <w:szCs w:val="24"/>
              </w:rPr>
              <w:t>Išlaikyti įmonės grynąjį pelningumą visą projekto kontrolės laikotarpį (pradedant antraisiais metais, einančiais po projekto įgyvendinimo pabaigos metų) (</w:t>
            </w:r>
            <w:r w:rsidR="006E7A5D" w:rsidRPr="002C4269">
              <w:rPr>
                <w:rFonts w:cs="Times New Roman"/>
                <w:i/>
                <w:szCs w:val="24"/>
              </w:rPr>
              <w:t>taikoma, jei buvo skirti balai už šį kriterijų</w:t>
            </w:r>
            <w:r w:rsidR="006E7A5D" w:rsidRPr="002C4269">
              <w:rPr>
                <w:rFonts w:cs="Times New Roman"/>
                <w:szCs w:val="24"/>
              </w:rPr>
              <w:t>):</w:t>
            </w:r>
          </w:p>
          <w:p w14:paraId="1A5EC1B8" w14:textId="77777777" w:rsidR="006E7A5D" w:rsidRPr="002C4269" w:rsidRDefault="006E7A5D" w:rsidP="00522399">
            <w:pPr>
              <w:pStyle w:val="ListParagraph"/>
              <w:numPr>
                <w:ilvl w:val="0"/>
                <w:numId w:val="1"/>
              </w:numPr>
              <w:tabs>
                <w:tab w:val="left" w:pos="601"/>
              </w:tabs>
              <w:ind w:right="-57"/>
              <w:jc w:val="both"/>
              <w:rPr>
                <w:rFonts w:cs="Times New Roman"/>
                <w:szCs w:val="24"/>
              </w:rPr>
            </w:pPr>
            <w:r w:rsidRPr="002C4269">
              <w:rPr>
                <w:rFonts w:cs="Times New Roman"/>
                <w:szCs w:val="24"/>
              </w:rPr>
              <w:t>nuo 2,5 iki 4 proc. (imtinai);</w:t>
            </w:r>
          </w:p>
          <w:p w14:paraId="403A7082" w14:textId="77777777" w:rsidR="006E7A5D" w:rsidRPr="002C4269" w:rsidRDefault="006E7A5D" w:rsidP="00522399">
            <w:pPr>
              <w:pStyle w:val="ListParagraph"/>
              <w:numPr>
                <w:ilvl w:val="0"/>
                <w:numId w:val="1"/>
              </w:numPr>
              <w:tabs>
                <w:tab w:val="left" w:pos="601"/>
              </w:tabs>
              <w:ind w:right="-57"/>
              <w:jc w:val="both"/>
              <w:rPr>
                <w:rFonts w:cs="Times New Roman"/>
                <w:color w:val="000000" w:themeColor="text1"/>
                <w:szCs w:val="24"/>
              </w:rPr>
            </w:pPr>
            <w:r w:rsidRPr="002C4269">
              <w:rPr>
                <w:rFonts w:cs="Times New Roman"/>
                <w:szCs w:val="24"/>
              </w:rPr>
              <w:t xml:space="preserve">daugiau kaip 4 proc. </w:t>
            </w:r>
          </w:p>
        </w:tc>
        <w:tc>
          <w:tcPr>
            <w:tcW w:w="3969" w:type="dxa"/>
          </w:tcPr>
          <w:p w14:paraId="454BA31E" w14:textId="77777777" w:rsidR="006E7A5D" w:rsidRPr="002C4269" w:rsidRDefault="00FB5FA8" w:rsidP="00FB5FA8">
            <w:pPr>
              <w:autoSpaceDE w:val="0"/>
              <w:autoSpaceDN w:val="0"/>
              <w:adjustRightInd w:val="0"/>
              <w:jc w:val="both"/>
              <w:rPr>
                <w:rFonts w:ascii="Times-Roman" w:hAnsi="Times-Roman" w:cs="Times-Roman"/>
                <w:szCs w:val="24"/>
              </w:rPr>
            </w:pPr>
            <w:r w:rsidRPr="002C4269">
              <w:rPr>
                <w:rFonts w:ascii="Times-Roman" w:hAnsi="Times-Roman" w:cs="Times-Roman"/>
                <w:szCs w:val="24"/>
              </w:rPr>
              <w:t>Paramos sumažinimas ir (arba) susigr</w:t>
            </w:r>
            <w:r w:rsidRPr="002C4269">
              <w:rPr>
                <w:rFonts w:ascii="TimesNewRoman" w:hAnsi="TimesNewRoman" w:cs="TimesNewRoman"/>
                <w:szCs w:val="24"/>
              </w:rPr>
              <w:t>ą</w:t>
            </w:r>
            <w:r w:rsidRPr="002C4269">
              <w:rPr>
                <w:rFonts w:ascii="Times-Roman" w:hAnsi="Times-Roman" w:cs="Times-Roman"/>
                <w:szCs w:val="24"/>
              </w:rPr>
              <w:t>žinimas nuo paramos sumos.</w:t>
            </w:r>
          </w:p>
          <w:p w14:paraId="6396DF03" w14:textId="3089D2D8" w:rsidR="00FB5FA8" w:rsidRPr="002C4269" w:rsidRDefault="00FB5FA8" w:rsidP="00FB5FA8">
            <w:pPr>
              <w:autoSpaceDE w:val="0"/>
              <w:autoSpaceDN w:val="0"/>
              <w:adjustRightInd w:val="0"/>
              <w:jc w:val="both"/>
              <w:rPr>
                <w:rFonts w:cs="Times New Roman"/>
                <w:color w:val="FF0000"/>
                <w:szCs w:val="24"/>
              </w:rPr>
            </w:pPr>
          </w:p>
        </w:tc>
        <w:tc>
          <w:tcPr>
            <w:tcW w:w="3827" w:type="dxa"/>
          </w:tcPr>
          <w:p w14:paraId="2DF65FE4" w14:textId="46F1AF6E" w:rsidR="006E7A5D" w:rsidRPr="002C4269" w:rsidRDefault="00063823" w:rsidP="00522399">
            <w:pPr>
              <w:jc w:val="both"/>
              <w:rPr>
                <w:rFonts w:cs="Times New Roman"/>
                <w:color w:val="000000" w:themeColor="text1"/>
                <w:szCs w:val="24"/>
              </w:rPr>
            </w:pPr>
            <w:r w:rsidRPr="002C4269">
              <w:rPr>
                <w:rFonts w:cs="Times New Roman"/>
                <w:color w:val="000000" w:themeColor="text1"/>
                <w:szCs w:val="24"/>
              </w:rPr>
              <w:t>Sankcijų metodika</w:t>
            </w:r>
          </w:p>
        </w:tc>
      </w:tr>
      <w:tr w:rsidR="006E7A5D" w:rsidRPr="002C4269" w14:paraId="2ADA0E8D" w14:textId="77777777" w:rsidTr="00721116">
        <w:tc>
          <w:tcPr>
            <w:tcW w:w="7225" w:type="dxa"/>
          </w:tcPr>
          <w:p w14:paraId="7217766F" w14:textId="4D63D784" w:rsidR="006E7A5D" w:rsidRPr="002C4269" w:rsidRDefault="00721116" w:rsidP="00522399">
            <w:pPr>
              <w:tabs>
                <w:tab w:val="left" w:pos="601"/>
              </w:tabs>
              <w:ind w:right="-57"/>
              <w:jc w:val="both"/>
              <w:rPr>
                <w:rFonts w:cs="Times New Roman"/>
                <w:color w:val="4472C4" w:themeColor="accent1"/>
                <w:szCs w:val="24"/>
                <w:shd w:val="clear" w:color="auto" w:fill="FFFFFF"/>
              </w:rPr>
            </w:pPr>
            <w:r w:rsidRPr="002C4269">
              <w:rPr>
                <w:rFonts w:cs="Times New Roman"/>
                <w:color w:val="FFFFFF" w:themeColor="background1"/>
                <w:szCs w:val="24"/>
              </w:rPr>
              <w:t>22.4</w:t>
            </w:r>
            <w:r w:rsidR="006E7A5D" w:rsidRPr="002C4269">
              <w:rPr>
                <w:rFonts w:cs="Times New Roman"/>
                <w:szCs w:val="24"/>
              </w:rPr>
              <w:t>Užtikrinti, kad, įgyvendinus projektą, bus sukurtas ir kontrolės laikotarpiu išlaikytas darbo vietų skaičius, išreikštas visos darbo dienos ekvivalentu (ataskaitiniais metais buvęs vidutinis darbuotojų skaičius lyginamas su pirmaisiais metais po projekto įgyvendinimo pabaigos esančiu vidutiniu darbuotojų skaičiumi)</w:t>
            </w:r>
            <w:r w:rsidR="006E7A5D" w:rsidRPr="002C4269">
              <w:rPr>
                <w:rFonts w:cs="Times New Roman"/>
                <w:szCs w:val="24"/>
                <w:shd w:val="clear" w:color="auto" w:fill="FFFFFF"/>
              </w:rPr>
              <w:t xml:space="preserve"> </w:t>
            </w:r>
            <w:r w:rsidR="006E7A5D" w:rsidRPr="002C4269">
              <w:rPr>
                <w:rFonts w:cs="Times New Roman"/>
                <w:szCs w:val="24"/>
              </w:rPr>
              <w:t>(</w:t>
            </w:r>
            <w:r w:rsidR="006E7A5D" w:rsidRPr="002C4269">
              <w:rPr>
                <w:rFonts w:cs="Times New Roman"/>
                <w:i/>
                <w:szCs w:val="24"/>
              </w:rPr>
              <w:t>taikoma, jei buvo skirti balai už šį kriterijų</w:t>
            </w:r>
            <w:r w:rsidR="006E7A5D" w:rsidRPr="002C4269">
              <w:rPr>
                <w:rFonts w:cs="Times New Roman"/>
                <w:szCs w:val="24"/>
              </w:rPr>
              <w:t>)</w:t>
            </w:r>
            <w:r w:rsidR="006E7A5D" w:rsidRPr="002C4269">
              <w:rPr>
                <w:rFonts w:cs="Times New Roman"/>
                <w:szCs w:val="24"/>
                <w:shd w:val="clear" w:color="auto" w:fill="FFFFFF"/>
              </w:rPr>
              <w:t>.</w:t>
            </w:r>
          </w:p>
        </w:tc>
        <w:tc>
          <w:tcPr>
            <w:tcW w:w="3969" w:type="dxa"/>
          </w:tcPr>
          <w:p w14:paraId="0550D182" w14:textId="77777777" w:rsidR="00FB5FA8" w:rsidRPr="002C4269" w:rsidRDefault="00FB5FA8" w:rsidP="00FB5FA8">
            <w:pPr>
              <w:autoSpaceDE w:val="0"/>
              <w:autoSpaceDN w:val="0"/>
              <w:adjustRightInd w:val="0"/>
              <w:jc w:val="both"/>
              <w:rPr>
                <w:rFonts w:ascii="Times-Roman" w:hAnsi="Times-Roman" w:cs="Times-Roman"/>
                <w:szCs w:val="24"/>
              </w:rPr>
            </w:pPr>
            <w:r w:rsidRPr="002C4269">
              <w:rPr>
                <w:rFonts w:ascii="Times-Roman" w:hAnsi="Times-Roman" w:cs="Times-Roman"/>
                <w:szCs w:val="24"/>
              </w:rPr>
              <w:t>Paramos sumažinimas ir (arba) susigr</w:t>
            </w:r>
            <w:r w:rsidRPr="002C4269">
              <w:rPr>
                <w:rFonts w:ascii="TimesNewRoman" w:hAnsi="TimesNewRoman" w:cs="TimesNewRoman"/>
                <w:szCs w:val="24"/>
              </w:rPr>
              <w:t>ą</w:t>
            </w:r>
            <w:r w:rsidRPr="002C4269">
              <w:rPr>
                <w:rFonts w:ascii="Times-Roman" w:hAnsi="Times-Roman" w:cs="Times-Roman"/>
                <w:szCs w:val="24"/>
              </w:rPr>
              <w:t>žinimas nuo paramos sumos.</w:t>
            </w:r>
          </w:p>
          <w:p w14:paraId="4BF06769" w14:textId="7AB1CE9F" w:rsidR="006E7A5D" w:rsidRPr="002C4269" w:rsidRDefault="006E7A5D" w:rsidP="00FB5FA8">
            <w:pPr>
              <w:jc w:val="both"/>
              <w:rPr>
                <w:rFonts w:cs="Times New Roman"/>
                <w:color w:val="000000"/>
                <w:szCs w:val="24"/>
              </w:rPr>
            </w:pPr>
          </w:p>
        </w:tc>
        <w:tc>
          <w:tcPr>
            <w:tcW w:w="3827" w:type="dxa"/>
          </w:tcPr>
          <w:p w14:paraId="60BC1763" w14:textId="021375E6" w:rsidR="006E7A5D" w:rsidRPr="002C4269" w:rsidRDefault="00063823" w:rsidP="00522399">
            <w:pPr>
              <w:jc w:val="both"/>
              <w:rPr>
                <w:rFonts w:cs="Times New Roman"/>
                <w:color w:val="000000" w:themeColor="text1"/>
                <w:szCs w:val="24"/>
              </w:rPr>
            </w:pPr>
            <w:r w:rsidRPr="002C4269">
              <w:rPr>
                <w:rFonts w:cs="Times New Roman"/>
                <w:color w:val="000000" w:themeColor="text1"/>
                <w:szCs w:val="24"/>
              </w:rPr>
              <w:t>Sankcijų metodika</w:t>
            </w:r>
          </w:p>
        </w:tc>
      </w:tr>
      <w:tr w:rsidR="00FB5FA8" w:rsidRPr="002C4269" w14:paraId="15205DBF" w14:textId="77777777" w:rsidTr="00721116">
        <w:tc>
          <w:tcPr>
            <w:tcW w:w="7225" w:type="dxa"/>
          </w:tcPr>
          <w:p w14:paraId="4C378053" w14:textId="70610D9A" w:rsidR="00FB5FA8" w:rsidRPr="002C4269" w:rsidRDefault="00721116" w:rsidP="005802F3">
            <w:pPr>
              <w:autoSpaceDE w:val="0"/>
              <w:autoSpaceDN w:val="0"/>
              <w:adjustRightInd w:val="0"/>
              <w:jc w:val="both"/>
              <w:rPr>
                <w:rFonts w:cs="Times New Roman"/>
                <w:color w:val="4472C4" w:themeColor="accent1"/>
                <w:szCs w:val="24"/>
              </w:rPr>
            </w:pPr>
            <w:r w:rsidRPr="002C4269">
              <w:rPr>
                <w:rFonts w:cs="Times New Roman"/>
                <w:color w:val="FFFFFF" w:themeColor="background1"/>
                <w:szCs w:val="24"/>
              </w:rPr>
              <w:t>22.5.1</w:t>
            </w:r>
            <w:r w:rsidR="00FB5FA8" w:rsidRPr="002C4269">
              <w:rPr>
                <w:rFonts w:cs="Times New Roman"/>
                <w:szCs w:val="24"/>
              </w:rPr>
              <w:t>Užtikrinti, kad visą projekto įgyvendinimo ir kontrolės laikotarpį</w:t>
            </w:r>
            <w:r w:rsidR="005802F3" w:rsidRPr="002C4269">
              <w:rPr>
                <w:rFonts w:cs="Times New Roman"/>
                <w:szCs w:val="24"/>
              </w:rPr>
              <w:t xml:space="preserve"> p</w:t>
            </w:r>
            <w:r w:rsidR="00FB5FA8" w:rsidRPr="002C4269">
              <w:rPr>
                <w:rFonts w:cs="Times New Roman"/>
                <w:szCs w:val="24"/>
              </w:rPr>
              <w:t xml:space="preserve">areiškėjas bus įdarbinęs žuvininkystės studijų krypties išsilavinimą arba žuvininkystės verslo </w:t>
            </w:r>
            <w:r w:rsidR="00FB5FA8" w:rsidRPr="002C4269">
              <w:rPr>
                <w:rFonts w:ascii="Times-Roman" w:hAnsi="Times-Roman" w:cs="Times-Roman"/>
                <w:szCs w:val="24"/>
              </w:rPr>
              <w:t>darbuotojo kvalifikacij</w:t>
            </w:r>
            <w:r w:rsidR="00FB5FA8" w:rsidRPr="002C4269">
              <w:rPr>
                <w:rFonts w:ascii="TimesNewRoman" w:hAnsi="TimesNewRoman" w:cs="TimesNewRoman"/>
                <w:szCs w:val="24"/>
              </w:rPr>
              <w:t>ą</w:t>
            </w:r>
            <w:r w:rsidR="00FB5FA8" w:rsidRPr="002C4269">
              <w:rPr>
                <w:rFonts w:ascii="Times-Roman" w:hAnsi="Times-Roman" w:cs="Times-Roman"/>
                <w:szCs w:val="24"/>
              </w:rPr>
              <w:t xml:space="preserve">, </w:t>
            </w:r>
            <w:r w:rsidR="00FB5FA8" w:rsidRPr="002C4269">
              <w:rPr>
                <w:rFonts w:ascii="TimesNewRoman" w:hAnsi="TimesNewRoman" w:cs="TimesNewRoman"/>
                <w:szCs w:val="24"/>
              </w:rPr>
              <w:t>į</w:t>
            </w:r>
            <w:r w:rsidR="00FB5FA8" w:rsidRPr="002C4269">
              <w:rPr>
                <w:rFonts w:ascii="Times-Roman" w:hAnsi="Times-Roman" w:cs="Times-Roman"/>
                <w:szCs w:val="24"/>
              </w:rPr>
              <w:t>gyt</w:t>
            </w:r>
            <w:r w:rsidR="00FB5FA8" w:rsidRPr="002C4269">
              <w:rPr>
                <w:rFonts w:ascii="TimesNewRoman" w:hAnsi="TimesNewRoman" w:cs="TimesNewRoman"/>
                <w:szCs w:val="24"/>
              </w:rPr>
              <w:t xml:space="preserve">ą </w:t>
            </w:r>
            <w:r w:rsidR="00FB5FA8" w:rsidRPr="002C4269">
              <w:rPr>
                <w:rFonts w:ascii="Times-Roman" w:hAnsi="Times-Roman" w:cs="Times-Roman"/>
                <w:szCs w:val="24"/>
              </w:rPr>
              <w:t>Lietuvoje arba užsienyje, turint</w:t>
            </w:r>
            <w:r w:rsidR="00FB5FA8" w:rsidRPr="002C4269">
              <w:rPr>
                <w:rFonts w:ascii="TimesNewRoman" w:hAnsi="TimesNewRoman" w:cs="TimesNewRoman"/>
                <w:szCs w:val="24"/>
              </w:rPr>
              <w:t xml:space="preserve">į </w:t>
            </w:r>
            <w:r w:rsidR="00FB5FA8" w:rsidRPr="002C4269">
              <w:rPr>
                <w:rFonts w:ascii="Times-Roman" w:hAnsi="Times-Roman" w:cs="Times-Roman"/>
                <w:szCs w:val="24"/>
              </w:rPr>
              <w:t>specialist</w:t>
            </w:r>
            <w:r w:rsidR="00FB5FA8" w:rsidRPr="002C4269">
              <w:rPr>
                <w:rFonts w:ascii="TimesNewRoman" w:hAnsi="TimesNewRoman" w:cs="TimesNewRoman"/>
                <w:szCs w:val="24"/>
              </w:rPr>
              <w:t>ą</w:t>
            </w:r>
            <w:r w:rsidR="005802F3" w:rsidRPr="002C4269">
              <w:rPr>
                <w:rFonts w:ascii="TimesNewRoman" w:hAnsi="TimesNewRoman" w:cs="TimesNewRoman"/>
                <w:szCs w:val="24"/>
              </w:rPr>
              <w:t xml:space="preserve"> </w:t>
            </w:r>
            <w:r w:rsidR="00FB5FA8" w:rsidRPr="002C4269">
              <w:rPr>
                <w:rFonts w:ascii="Times-Roman" w:hAnsi="Times-Roman" w:cs="Times-Roman"/>
                <w:szCs w:val="24"/>
              </w:rPr>
              <w:t>(</w:t>
            </w:r>
            <w:r w:rsidR="00FB5FA8" w:rsidRPr="002C4269">
              <w:rPr>
                <w:rFonts w:ascii="Times-Roman" w:hAnsi="Times-Roman" w:cs="Times-Roman"/>
                <w:i/>
                <w:szCs w:val="24"/>
              </w:rPr>
              <w:t>taikoma, jei buvo skirti balai už š</w:t>
            </w:r>
            <w:r w:rsidR="00FB5FA8" w:rsidRPr="002C4269">
              <w:rPr>
                <w:rFonts w:ascii="TimesNewRoman" w:hAnsi="TimesNewRoman" w:cs="TimesNewRoman"/>
                <w:i/>
                <w:szCs w:val="24"/>
              </w:rPr>
              <w:t xml:space="preserve">į </w:t>
            </w:r>
            <w:r w:rsidR="00FB5FA8" w:rsidRPr="002C4269">
              <w:rPr>
                <w:rFonts w:ascii="Times-Roman" w:hAnsi="Times-Roman" w:cs="Times-Roman"/>
                <w:i/>
                <w:szCs w:val="24"/>
              </w:rPr>
              <w:t>kriterij</w:t>
            </w:r>
            <w:r w:rsidR="00FB5FA8" w:rsidRPr="002C4269">
              <w:rPr>
                <w:rFonts w:ascii="TimesNewRoman" w:hAnsi="TimesNewRoman" w:cs="TimesNewRoman"/>
                <w:i/>
                <w:szCs w:val="24"/>
              </w:rPr>
              <w:t>ų</w:t>
            </w:r>
            <w:r w:rsidR="00FB5FA8" w:rsidRPr="002C4269">
              <w:rPr>
                <w:rFonts w:ascii="Times-Roman" w:hAnsi="Times-Roman" w:cs="Times-Roman"/>
                <w:szCs w:val="24"/>
              </w:rPr>
              <w:t>).</w:t>
            </w:r>
          </w:p>
        </w:tc>
        <w:tc>
          <w:tcPr>
            <w:tcW w:w="3969" w:type="dxa"/>
          </w:tcPr>
          <w:p w14:paraId="0842BB59" w14:textId="144220D5" w:rsidR="00FB5FA8" w:rsidRPr="002C4269" w:rsidRDefault="005802F3" w:rsidP="00816559">
            <w:pPr>
              <w:autoSpaceDE w:val="0"/>
              <w:autoSpaceDN w:val="0"/>
              <w:adjustRightInd w:val="0"/>
              <w:jc w:val="both"/>
              <w:rPr>
                <w:rFonts w:ascii="Times-Roman" w:hAnsi="Times-Roman" w:cs="Times-Roman"/>
                <w:szCs w:val="24"/>
                <w:highlight w:val="red"/>
              </w:rPr>
            </w:pPr>
            <w:r w:rsidRPr="002C4269">
              <w:rPr>
                <w:rFonts w:ascii="Times-Roman" w:hAnsi="Times-Roman" w:cs="Times-Roman"/>
                <w:szCs w:val="24"/>
              </w:rPr>
              <w:t>Paramos sumažinimas ir (arba)</w:t>
            </w:r>
            <w:r w:rsidR="00816559" w:rsidRPr="002C4269">
              <w:rPr>
                <w:rFonts w:ascii="Times-Roman" w:hAnsi="Times-Roman" w:cs="Times-Roman"/>
                <w:szCs w:val="24"/>
              </w:rPr>
              <w:t xml:space="preserve"> </w:t>
            </w:r>
            <w:r w:rsidRPr="002C4269">
              <w:rPr>
                <w:rFonts w:ascii="Times-Roman" w:hAnsi="Times-Roman" w:cs="Times-Roman"/>
                <w:szCs w:val="24"/>
              </w:rPr>
              <w:t>susigrąžinimas nuo paramos sumos.</w:t>
            </w:r>
          </w:p>
        </w:tc>
        <w:tc>
          <w:tcPr>
            <w:tcW w:w="3827" w:type="dxa"/>
          </w:tcPr>
          <w:p w14:paraId="0319F032" w14:textId="7ADD9891" w:rsidR="00FB5FA8" w:rsidRPr="002C4269" w:rsidRDefault="00063823" w:rsidP="00522399">
            <w:pPr>
              <w:jc w:val="both"/>
              <w:rPr>
                <w:rFonts w:cs="Times New Roman"/>
                <w:color w:val="000000" w:themeColor="text1"/>
                <w:szCs w:val="24"/>
              </w:rPr>
            </w:pPr>
            <w:r w:rsidRPr="002C4269">
              <w:rPr>
                <w:rFonts w:cs="Times New Roman"/>
                <w:color w:val="000000" w:themeColor="text1"/>
                <w:szCs w:val="24"/>
              </w:rPr>
              <w:t>Sankcijų metodika</w:t>
            </w:r>
          </w:p>
        </w:tc>
      </w:tr>
      <w:tr w:rsidR="006E7A5D" w:rsidRPr="002C4269" w14:paraId="52F8FE16" w14:textId="77777777" w:rsidTr="00721116">
        <w:tc>
          <w:tcPr>
            <w:tcW w:w="7225" w:type="dxa"/>
          </w:tcPr>
          <w:p w14:paraId="0A6D0C0C" w14:textId="4E246A53" w:rsidR="006E7A5D" w:rsidRPr="002C4269" w:rsidRDefault="00721116" w:rsidP="00522399">
            <w:pPr>
              <w:tabs>
                <w:tab w:val="left" w:pos="601"/>
              </w:tabs>
              <w:ind w:right="-57"/>
              <w:jc w:val="both"/>
              <w:rPr>
                <w:rFonts w:cs="Times New Roman"/>
                <w:color w:val="000000"/>
                <w:szCs w:val="24"/>
              </w:rPr>
            </w:pPr>
            <w:r w:rsidRPr="002C4269">
              <w:rPr>
                <w:rFonts w:cs="Times New Roman"/>
                <w:color w:val="FFFFFF" w:themeColor="background1"/>
                <w:szCs w:val="24"/>
              </w:rPr>
              <w:t>41</w:t>
            </w:r>
            <w:r w:rsidRPr="002C4269">
              <w:rPr>
                <w:rFonts w:cs="Times New Roman"/>
                <w:color w:val="000000"/>
                <w:szCs w:val="24"/>
              </w:rPr>
              <w:t xml:space="preserve">  </w:t>
            </w:r>
            <w:r w:rsidR="006E7A5D" w:rsidRPr="002C4269">
              <w:rPr>
                <w:rFonts w:cs="Times New Roman"/>
                <w:color w:val="000000"/>
                <w:szCs w:val="24"/>
              </w:rPr>
              <w:t xml:space="preserve">Paramos gavėjas su galutiniu mokėjimo prašymu kartu pateikia galutinę projekto įgyvendinimo ataskaitą, o 5 metus po galutinio paramos lėšų išmokėjimo, t. y. per 4 mėnesius kiekvieniems kalendoriniams </w:t>
            </w:r>
            <w:r w:rsidR="006E7A5D" w:rsidRPr="002C4269">
              <w:rPr>
                <w:rFonts w:cs="Times New Roman"/>
                <w:color w:val="000000"/>
                <w:szCs w:val="24"/>
              </w:rPr>
              <w:lastRenderedPageBreak/>
              <w:t>metams pasibaigus, – užbaigto projekto metinę ataskaitą. Ataskaitų form</w:t>
            </w:r>
            <w:r w:rsidR="001A5722">
              <w:rPr>
                <w:rFonts w:cs="Times New Roman"/>
                <w:color w:val="000000"/>
                <w:szCs w:val="24"/>
              </w:rPr>
              <w:t>a</w:t>
            </w:r>
            <w:r w:rsidR="006E7A5D" w:rsidRPr="002C4269">
              <w:rPr>
                <w:rFonts w:cs="Times New Roman"/>
                <w:color w:val="000000"/>
                <w:szCs w:val="24"/>
              </w:rPr>
              <w:t xml:space="preserve">s </w:t>
            </w:r>
            <w:r w:rsidR="001A5722">
              <w:rPr>
                <w:rFonts w:cs="Times New Roman"/>
                <w:color w:val="000000"/>
                <w:szCs w:val="24"/>
              </w:rPr>
              <w:t>galima rasti NMA</w:t>
            </w:r>
            <w:r w:rsidR="006E7A5D" w:rsidRPr="002C4269">
              <w:rPr>
                <w:rFonts w:cs="Times New Roman"/>
                <w:color w:val="000000"/>
                <w:szCs w:val="24"/>
              </w:rPr>
              <w:t xml:space="preserve"> interneto svetainėje.</w:t>
            </w:r>
          </w:p>
        </w:tc>
        <w:tc>
          <w:tcPr>
            <w:tcW w:w="3969" w:type="dxa"/>
          </w:tcPr>
          <w:p w14:paraId="32DA1354" w14:textId="177A9B1B" w:rsidR="006E7A5D" w:rsidRPr="002C4269" w:rsidRDefault="006E7A5D" w:rsidP="00D819B6">
            <w:pPr>
              <w:spacing w:line="254" w:lineRule="atLeast"/>
              <w:jc w:val="both"/>
              <w:rPr>
                <w:rFonts w:cs="Times New Roman"/>
                <w:color w:val="000000" w:themeColor="text1"/>
                <w:szCs w:val="24"/>
                <w:highlight w:val="green"/>
              </w:rPr>
            </w:pPr>
            <w:r w:rsidRPr="002C4269">
              <w:rPr>
                <w:rFonts w:cs="Times New Roman"/>
                <w:szCs w:val="24"/>
              </w:rPr>
              <w:lastRenderedPageBreak/>
              <w:t>Paramos susigrąžinimas 0,5 proc. nuo išmokėtos paramos sumos.</w:t>
            </w:r>
          </w:p>
        </w:tc>
        <w:tc>
          <w:tcPr>
            <w:tcW w:w="3827" w:type="dxa"/>
          </w:tcPr>
          <w:p w14:paraId="73244F09" w14:textId="19098323" w:rsidR="006E7A5D" w:rsidRPr="002C4269" w:rsidRDefault="00063823" w:rsidP="00522399">
            <w:pPr>
              <w:jc w:val="both"/>
              <w:rPr>
                <w:rFonts w:cs="Times New Roman"/>
                <w:color w:val="000000" w:themeColor="text1"/>
                <w:szCs w:val="24"/>
                <w:highlight w:val="green"/>
              </w:rPr>
            </w:pPr>
            <w:r w:rsidRPr="002C4269">
              <w:rPr>
                <w:rFonts w:cs="Times New Roman"/>
                <w:color w:val="000000" w:themeColor="text1"/>
                <w:szCs w:val="24"/>
              </w:rPr>
              <w:t>Sankcijų metodika</w:t>
            </w:r>
          </w:p>
        </w:tc>
      </w:tr>
      <w:tr w:rsidR="006E7A5D" w:rsidRPr="002C4269" w14:paraId="0042065C" w14:textId="77777777" w:rsidTr="00721116">
        <w:tc>
          <w:tcPr>
            <w:tcW w:w="7225" w:type="dxa"/>
          </w:tcPr>
          <w:p w14:paraId="35386889" w14:textId="015A1416" w:rsidR="006E7A5D" w:rsidRPr="002C4269" w:rsidRDefault="00F62F45" w:rsidP="00522399">
            <w:pPr>
              <w:tabs>
                <w:tab w:val="left" w:pos="601"/>
              </w:tabs>
              <w:ind w:right="-57"/>
              <w:jc w:val="both"/>
              <w:rPr>
                <w:rFonts w:cs="Times New Roman"/>
                <w:color w:val="000000"/>
                <w:szCs w:val="24"/>
              </w:rPr>
            </w:pPr>
            <w:r w:rsidRPr="002C4269">
              <w:rPr>
                <w:rFonts w:cs="Times New Roman"/>
                <w:color w:val="FFFFFF" w:themeColor="background1"/>
                <w:szCs w:val="24"/>
              </w:rPr>
              <w:t xml:space="preserve">47. </w:t>
            </w:r>
            <w:r w:rsidR="006E7A5D" w:rsidRPr="002C4269">
              <w:rPr>
                <w:rFonts w:cs="Times New Roman"/>
                <w:color w:val="000000"/>
                <w:szCs w:val="24"/>
              </w:rPr>
              <w:t xml:space="preserve">Baigęs įgyvendinti projektą, paramos gavėjas pateikia </w:t>
            </w:r>
            <w:r w:rsidRPr="002C4269">
              <w:rPr>
                <w:rFonts w:cs="Times New Roman"/>
                <w:color w:val="000000"/>
                <w:szCs w:val="24"/>
              </w:rPr>
              <w:t>NMA</w:t>
            </w:r>
            <w:r w:rsidR="006E7A5D" w:rsidRPr="002C4269">
              <w:rPr>
                <w:rFonts w:cs="Times New Roman"/>
                <w:color w:val="000000"/>
                <w:szCs w:val="24"/>
              </w:rPr>
              <w:t xml:space="preserve"> galutinį mokėjimo prašymą, kuriame deklaruoja per laikotarpį nuo paskutinio mokėjimo prašymo patirtas ir apmokėtas tinkamas finansuoti išlaidas.</w:t>
            </w:r>
          </w:p>
        </w:tc>
        <w:tc>
          <w:tcPr>
            <w:tcW w:w="3969" w:type="dxa"/>
          </w:tcPr>
          <w:p w14:paraId="500F21BE" w14:textId="77777777" w:rsidR="006E7A5D" w:rsidRPr="002C4269" w:rsidRDefault="006E7A5D" w:rsidP="00522399">
            <w:pPr>
              <w:spacing w:line="254" w:lineRule="atLeast"/>
              <w:jc w:val="both"/>
              <w:rPr>
                <w:rFonts w:eastAsia="Times New Roman" w:cs="Times New Roman"/>
                <w:color w:val="000000"/>
                <w:szCs w:val="24"/>
                <w:lang w:eastAsia="lt-LT"/>
              </w:rPr>
            </w:pPr>
            <w:r w:rsidRPr="002C4269">
              <w:rPr>
                <w:rFonts w:cs="Times New Roman"/>
                <w:color w:val="000000" w:themeColor="text1"/>
                <w:szCs w:val="24"/>
              </w:rPr>
              <w:t xml:space="preserve">Už pavėluotai pateiktą mokėjimo prašymą – </w:t>
            </w:r>
            <w:r w:rsidRPr="002C4269">
              <w:rPr>
                <w:rFonts w:eastAsia="Times New Roman" w:cs="Times New Roman"/>
                <w:color w:val="000000"/>
                <w:szCs w:val="24"/>
                <w:lang w:eastAsia="lt-LT"/>
              </w:rPr>
              <w:t>paramos sumažinimas 0,5 proc. nuo mokėtinos sumos už kiekvieną pavėluotą darbo dieną.</w:t>
            </w:r>
          </w:p>
          <w:p w14:paraId="6F8E44EC" w14:textId="77777777" w:rsidR="006E7A5D" w:rsidRPr="002C4269" w:rsidRDefault="006E7A5D" w:rsidP="00522399">
            <w:pPr>
              <w:jc w:val="both"/>
              <w:rPr>
                <w:rFonts w:cs="Times New Roman"/>
                <w:szCs w:val="24"/>
              </w:rPr>
            </w:pPr>
            <w:r w:rsidRPr="002C4269">
              <w:rPr>
                <w:rFonts w:cs="Times New Roman"/>
                <w:color w:val="000000" w:themeColor="text1"/>
                <w:szCs w:val="24"/>
              </w:rPr>
              <w:t xml:space="preserve">Už nepateiktą mokėjimo prašymą – </w:t>
            </w:r>
            <w:r w:rsidRPr="002C4269">
              <w:rPr>
                <w:rFonts w:cs="Times New Roman"/>
                <w:szCs w:val="24"/>
              </w:rPr>
              <w:t>paramos sumažinimas 100 proc. mokėjimo prašymo sumos arba paramos sumažinimas ir (arba) paramos susigrąžinimas 100 proc. nuo paramos sumos.</w:t>
            </w:r>
          </w:p>
        </w:tc>
        <w:tc>
          <w:tcPr>
            <w:tcW w:w="3827" w:type="dxa"/>
          </w:tcPr>
          <w:p w14:paraId="3FF6F5D7" w14:textId="09C75F88" w:rsidR="006E7A5D" w:rsidRPr="002C4269" w:rsidRDefault="00063823" w:rsidP="00522399">
            <w:pPr>
              <w:jc w:val="both"/>
              <w:rPr>
                <w:rFonts w:cs="Times New Roman"/>
                <w:color w:val="000000" w:themeColor="text1"/>
                <w:szCs w:val="24"/>
              </w:rPr>
            </w:pPr>
            <w:r w:rsidRPr="002C4269">
              <w:rPr>
                <w:rFonts w:cs="Times New Roman"/>
                <w:color w:val="000000" w:themeColor="text1"/>
                <w:szCs w:val="24"/>
              </w:rPr>
              <w:t>Sankcijų metodika</w:t>
            </w:r>
          </w:p>
        </w:tc>
      </w:tr>
      <w:tr w:rsidR="00C14523" w:rsidRPr="002C4269" w14:paraId="7497D0A0" w14:textId="77777777" w:rsidTr="00721116">
        <w:tc>
          <w:tcPr>
            <w:tcW w:w="7225" w:type="dxa"/>
          </w:tcPr>
          <w:p w14:paraId="0D25C8D0" w14:textId="3F5A75B5" w:rsidR="00C14523" w:rsidRPr="002C4269" w:rsidRDefault="00C14523" w:rsidP="00C14523">
            <w:pPr>
              <w:tabs>
                <w:tab w:val="left" w:pos="601"/>
              </w:tabs>
              <w:ind w:right="-57"/>
              <w:jc w:val="both"/>
              <w:rPr>
                <w:rFonts w:cs="Times New Roman"/>
                <w:color w:val="000000"/>
                <w:szCs w:val="24"/>
              </w:rPr>
            </w:pPr>
            <w:r w:rsidRPr="002C4269">
              <w:rPr>
                <w:color w:val="FFFFFF" w:themeColor="background1"/>
              </w:rPr>
              <w:t xml:space="preserve">V. </w:t>
            </w:r>
            <w:r w:rsidRPr="002C4269">
              <w:t>Pasiekti paramos paraiškoje nustatytus projekto priežiūros rodiklius, kuriems taikoma pasiekimų kontrolė.</w:t>
            </w:r>
          </w:p>
        </w:tc>
        <w:tc>
          <w:tcPr>
            <w:tcW w:w="3969" w:type="dxa"/>
          </w:tcPr>
          <w:p w14:paraId="7D958AA2" w14:textId="1E7468EF" w:rsidR="00C14523" w:rsidRPr="002C4269" w:rsidRDefault="00C14523" w:rsidP="00C14523">
            <w:pPr>
              <w:spacing w:line="254" w:lineRule="atLeast"/>
              <w:jc w:val="both"/>
              <w:rPr>
                <w:rFonts w:cs="Times New Roman"/>
                <w:color w:val="000000" w:themeColor="text1"/>
                <w:szCs w:val="24"/>
              </w:rPr>
            </w:pPr>
            <w:r w:rsidRPr="002C4269">
              <w:t>Paramos susigrąžinimas. Sankcija skaičiuojama priklausomai nuo nustatytos neatitikties priežiūros rodikliams nuokrypio.</w:t>
            </w:r>
          </w:p>
        </w:tc>
        <w:tc>
          <w:tcPr>
            <w:tcW w:w="3827" w:type="dxa"/>
          </w:tcPr>
          <w:p w14:paraId="6CF45618" w14:textId="1ECEEB2A" w:rsidR="00C14523" w:rsidRPr="002C4269" w:rsidRDefault="00063823" w:rsidP="00C14523">
            <w:pPr>
              <w:jc w:val="both"/>
              <w:rPr>
                <w:rFonts w:cs="Times New Roman"/>
                <w:color w:val="000000" w:themeColor="text1"/>
                <w:szCs w:val="24"/>
              </w:rPr>
            </w:pPr>
            <w:r w:rsidRPr="002C4269">
              <w:rPr>
                <w:rFonts w:cs="Times New Roman"/>
                <w:color w:val="000000" w:themeColor="text1"/>
                <w:szCs w:val="24"/>
              </w:rPr>
              <w:t>Sankcijų metodika</w:t>
            </w:r>
          </w:p>
        </w:tc>
      </w:tr>
      <w:tr w:rsidR="006E7A5D" w:rsidRPr="002C4269" w14:paraId="1BC29552" w14:textId="77777777" w:rsidTr="00721116">
        <w:tc>
          <w:tcPr>
            <w:tcW w:w="7225" w:type="dxa"/>
          </w:tcPr>
          <w:p w14:paraId="7FFAB54F" w14:textId="3171139F" w:rsidR="006E7A5D" w:rsidRPr="002C4269" w:rsidRDefault="00721116" w:rsidP="00522399">
            <w:pPr>
              <w:tabs>
                <w:tab w:val="left" w:pos="601"/>
              </w:tabs>
              <w:ind w:right="-57"/>
              <w:jc w:val="both"/>
              <w:rPr>
                <w:rFonts w:cs="Times New Roman"/>
                <w:color w:val="000000" w:themeColor="text1"/>
                <w:szCs w:val="24"/>
              </w:rPr>
            </w:pPr>
            <w:r w:rsidRPr="002C4269">
              <w:rPr>
                <w:rFonts w:cs="Times New Roman"/>
                <w:szCs w:val="24"/>
              </w:rPr>
              <w:t xml:space="preserve">    </w:t>
            </w:r>
            <w:r w:rsidR="006E7A5D" w:rsidRPr="002C4269">
              <w:rPr>
                <w:rFonts w:cs="Times New Roman"/>
                <w:szCs w:val="24"/>
              </w:rPr>
              <w:t>Įvykdyti paramos sutartyje numatytus papildomus įsipareigojimus (</w:t>
            </w:r>
            <w:r w:rsidR="006E7A5D" w:rsidRPr="002C4269">
              <w:rPr>
                <w:rFonts w:cs="Times New Roman"/>
                <w:i/>
                <w:szCs w:val="24"/>
              </w:rPr>
              <w:t>taikoma, jei papildomi įsipareigojimai buvo įtraukti į sutartį</w:t>
            </w:r>
            <w:r w:rsidR="006E7A5D" w:rsidRPr="002C4269">
              <w:rPr>
                <w:rFonts w:cs="Times New Roman"/>
                <w:szCs w:val="24"/>
              </w:rPr>
              <w:t>).</w:t>
            </w:r>
          </w:p>
        </w:tc>
        <w:tc>
          <w:tcPr>
            <w:tcW w:w="3969" w:type="dxa"/>
          </w:tcPr>
          <w:p w14:paraId="500A9940" w14:textId="77777777" w:rsidR="006E7A5D" w:rsidRPr="002C4269" w:rsidRDefault="006E7A5D" w:rsidP="00522399">
            <w:pPr>
              <w:jc w:val="both"/>
              <w:rPr>
                <w:rFonts w:cs="Times New Roman"/>
                <w:color w:val="000000" w:themeColor="text1"/>
                <w:szCs w:val="24"/>
              </w:rPr>
            </w:pPr>
            <w:r w:rsidRPr="002C4269">
              <w:rPr>
                <w:rFonts w:cs="Times New Roman"/>
                <w:color w:val="000000"/>
                <w:szCs w:val="24"/>
              </w:rPr>
              <w:t>Sankcijos dydis priklauso nuo nustatyto pažeidimo reikšmingumo, masto, trukmės ir pasikartojimo</w:t>
            </w:r>
            <w:r w:rsidRPr="002C4269">
              <w:rPr>
                <w:rFonts w:cs="Times New Roman"/>
                <w:szCs w:val="24"/>
              </w:rPr>
              <w:t>.</w:t>
            </w:r>
          </w:p>
        </w:tc>
        <w:tc>
          <w:tcPr>
            <w:tcW w:w="3827" w:type="dxa"/>
          </w:tcPr>
          <w:p w14:paraId="41A616B9" w14:textId="0D81D269" w:rsidR="006E7A5D" w:rsidRPr="002C4269" w:rsidRDefault="00063823" w:rsidP="00522399">
            <w:pPr>
              <w:jc w:val="both"/>
              <w:rPr>
                <w:rFonts w:cs="Times New Roman"/>
                <w:color w:val="000000" w:themeColor="text1"/>
                <w:szCs w:val="24"/>
              </w:rPr>
            </w:pPr>
            <w:r w:rsidRPr="002C4269">
              <w:rPr>
                <w:rFonts w:cs="Times New Roman"/>
                <w:color w:val="000000" w:themeColor="text1"/>
                <w:szCs w:val="24"/>
              </w:rPr>
              <w:t>Sankcijų metodika</w:t>
            </w:r>
          </w:p>
        </w:tc>
      </w:tr>
    </w:tbl>
    <w:p w14:paraId="0B317800" w14:textId="13CE4C95" w:rsidR="006E7A5D" w:rsidRPr="002C4269" w:rsidRDefault="00C14523" w:rsidP="00C14523">
      <w:pPr>
        <w:tabs>
          <w:tab w:val="left" w:pos="0"/>
        </w:tabs>
        <w:jc w:val="center"/>
      </w:pPr>
      <w:r w:rsidRPr="002C4269">
        <w:t>______________________________________</w:t>
      </w:r>
    </w:p>
    <w:sectPr w:rsidR="006E7A5D" w:rsidRPr="002C4269" w:rsidSect="00752FE6">
      <w:headerReference w:type="default" r:id="rId8"/>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D0A3D" w14:textId="77777777" w:rsidR="00BD0279" w:rsidRDefault="00BD0279" w:rsidP="00C14523">
      <w:pPr>
        <w:spacing w:after="0" w:line="240" w:lineRule="auto"/>
      </w:pPr>
      <w:r>
        <w:separator/>
      </w:r>
    </w:p>
  </w:endnote>
  <w:endnote w:type="continuationSeparator" w:id="0">
    <w:p w14:paraId="1E8EFE25" w14:textId="77777777" w:rsidR="00BD0279" w:rsidRDefault="00BD0279" w:rsidP="00C1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D1F82" w14:textId="77777777" w:rsidR="00BD0279" w:rsidRDefault="00BD0279" w:rsidP="00C14523">
      <w:pPr>
        <w:spacing w:after="0" w:line="240" w:lineRule="auto"/>
      </w:pPr>
      <w:r>
        <w:separator/>
      </w:r>
    </w:p>
  </w:footnote>
  <w:footnote w:type="continuationSeparator" w:id="0">
    <w:p w14:paraId="6DE2326B" w14:textId="77777777" w:rsidR="00BD0279" w:rsidRDefault="00BD0279" w:rsidP="00C14523">
      <w:pPr>
        <w:spacing w:after="0" w:line="240" w:lineRule="auto"/>
      </w:pPr>
      <w:r>
        <w:continuationSeparator/>
      </w:r>
    </w:p>
  </w:footnote>
  <w:footnote w:id="1">
    <w:p w14:paraId="58EA2CE7" w14:textId="7B052C74" w:rsidR="007A5319" w:rsidRDefault="007A5319" w:rsidP="00684298">
      <w:pPr>
        <w:pStyle w:val="FootnoteText"/>
        <w:jc w:val="both"/>
      </w:pPr>
      <w:r>
        <w:rPr>
          <w:rStyle w:val="FootnoteReference"/>
        </w:rPr>
        <w:footnoteRef/>
      </w:r>
      <w:r>
        <w:t xml:space="preserve"> </w:t>
      </w:r>
      <w:r>
        <w:rPr>
          <w:rFonts w:ascii="Times New Roman" w:eastAsia="Calibri" w:hAnsi="Times New Roman" w:cs="Times New Roman"/>
        </w:rPr>
        <w:t>L</w:t>
      </w:r>
      <w:r w:rsidRPr="0095257D">
        <w:rPr>
          <w:rFonts w:ascii="Times New Roman" w:eastAsia="Calibri" w:hAnsi="Times New Roman" w:cs="Times New Roman"/>
        </w:rPr>
        <w:t>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veiklos srities „</w:t>
      </w:r>
      <w:r>
        <w:rPr>
          <w:rFonts w:ascii="Times New Roman" w:eastAsia="Calibri" w:hAnsi="Times New Roman" w:cs="Times New Roman"/>
        </w:rPr>
        <w:t>P</w:t>
      </w:r>
      <w:r w:rsidRPr="0095257D">
        <w:rPr>
          <w:rFonts w:ascii="Times New Roman" w:eastAsia="Calibri" w:hAnsi="Times New Roman" w:cs="Times New Roman"/>
        </w:rPr>
        <w:t>roduktyvios investicijos į didelės apimties akvakultūros gamybą“ įgyvendinimo taisykl</w:t>
      </w:r>
      <w:r>
        <w:rPr>
          <w:rFonts w:ascii="Times New Roman" w:eastAsia="Calibri" w:hAnsi="Times New Roman" w:cs="Times New Roman"/>
        </w:rPr>
        <w:t>ė</w:t>
      </w:r>
      <w:r w:rsidRPr="0095257D">
        <w:rPr>
          <w:rFonts w:ascii="Times New Roman" w:eastAsia="Calibri" w:hAnsi="Times New Roman" w:cs="Times New Roman"/>
        </w:rPr>
        <w:t>s, patvirtint</w:t>
      </w:r>
      <w:r>
        <w:rPr>
          <w:rFonts w:ascii="Times New Roman" w:eastAsia="Calibri" w:hAnsi="Times New Roman" w:cs="Times New Roman"/>
        </w:rPr>
        <w:t>o</w:t>
      </w:r>
      <w:r w:rsidRPr="0095257D">
        <w:rPr>
          <w:rFonts w:ascii="Times New Roman" w:eastAsia="Calibri" w:hAnsi="Times New Roman" w:cs="Times New Roman"/>
        </w:rPr>
        <w:t xml:space="preserve">s Lietuvos Respublikos žemės ūkio ministro </w:t>
      </w:r>
      <w:r w:rsidRPr="0095257D">
        <w:rPr>
          <w:rFonts w:ascii="Times New Roman" w:eastAsia="Calibri" w:hAnsi="Times New Roman" w:cs="Times New Roman"/>
          <w:bCs/>
        </w:rPr>
        <w:t xml:space="preserve">2019 m. sausio 3 d. įsakymu Nr. 3d-3 </w:t>
      </w:r>
      <w:r w:rsidRPr="0095257D">
        <w:rPr>
          <w:rFonts w:ascii="Times New Roman" w:eastAsia="Calibri" w:hAnsi="Times New Roman" w:cs="Times New Roman"/>
        </w:rPr>
        <w:t>„Dėl 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veiklos srities „Produktyvios investicijos į didelės apimties akvakultūros gamybą</w:t>
      </w:r>
      <w:r w:rsidRPr="0095257D">
        <w:rPr>
          <w:rFonts w:ascii="Times New Roman" w:eastAsia="Calibri" w:hAnsi="Times New Roman" w:cs="Times New Roman"/>
          <w:bCs/>
          <w:color w:val="000000"/>
        </w:rPr>
        <w:t>“ įgyvendinimo taisyklių patvirtinimo</w:t>
      </w:r>
      <w:r w:rsidRPr="0095257D">
        <w:rPr>
          <w:rFonts w:ascii="Times New Roman" w:eastAsia="Calibri" w:hAnsi="Times New Roman" w:cs="Times New Roman"/>
        </w:rPr>
        <w:t>“</w:t>
      </w:r>
      <w:r>
        <w:rPr>
          <w:rFonts w:ascii="Times New Roman" w:eastAsia="Calibri" w:hAnsi="Times New Roman" w:cs="Times New Roman"/>
        </w:rPr>
        <w:t>.</w:t>
      </w:r>
    </w:p>
  </w:footnote>
  <w:footnote w:id="2">
    <w:p w14:paraId="09110001" w14:textId="1801AAA2" w:rsidR="007A5319" w:rsidRPr="00684298" w:rsidRDefault="007A5319" w:rsidP="00684298">
      <w:pPr>
        <w:pStyle w:val="FootnoteText"/>
        <w:jc w:val="both"/>
        <w:rPr>
          <w:rFonts w:ascii="Times New Roman" w:hAnsi="Times New Roman" w:cs="Times New Roman"/>
        </w:rPr>
      </w:pPr>
      <w:r>
        <w:rPr>
          <w:rStyle w:val="FootnoteReference"/>
        </w:rPr>
        <w:footnoteRef/>
      </w:r>
      <w:r>
        <w:t xml:space="preserve"> </w:t>
      </w:r>
      <w:r w:rsidRPr="00684298">
        <w:rPr>
          <w:rFonts w:ascii="Times New Roman" w:hAnsi="Times New Roman" w:cs="Times New Roman"/>
          <w:color w:val="000000" w:themeColor="text1"/>
          <w:szCs w:val="24"/>
        </w:rPr>
        <w:t>Sankcijų už teisės aktų nuostatų pažeidimus įgyvendinant Lietuvos žuvininkystės sektoriaus 2014–2020 metų veiksmų programos priemones taikymo metodika</w:t>
      </w:r>
      <w:r>
        <w:rPr>
          <w:rFonts w:ascii="Times New Roman" w:hAnsi="Times New Roman" w:cs="Times New Roman"/>
          <w:color w:val="000000" w:themeColor="text1"/>
          <w:szCs w:val="24"/>
        </w:rPr>
        <w:t xml:space="preserve">, patvirtinta Lietuvos Respublikos žemės ūkio ministro </w:t>
      </w:r>
      <w:r w:rsidRPr="00684298">
        <w:rPr>
          <w:rFonts w:ascii="Times New Roman" w:hAnsi="Times New Roman" w:cs="Times New Roman"/>
          <w:color w:val="000000" w:themeColor="text1"/>
          <w:szCs w:val="24"/>
        </w:rPr>
        <w:t>2015 m. rugpjūčio 13 d. įsakym</w:t>
      </w:r>
      <w:r>
        <w:rPr>
          <w:rFonts w:ascii="Times New Roman" w:hAnsi="Times New Roman" w:cs="Times New Roman"/>
          <w:color w:val="000000" w:themeColor="text1"/>
          <w:szCs w:val="24"/>
        </w:rPr>
        <w:t>u</w:t>
      </w:r>
      <w:r w:rsidRPr="00684298">
        <w:rPr>
          <w:rFonts w:ascii="Times New Roman" w:hAnsi="Times New Roman" w:cs="Times New Roman"/>
          <w:color w:val="000000" w:themeColor="text1"/>
          <w:szCs w:val="24"/>
        </w:rPr>
        <w:t xml:space="preserve"> Nr. 3D-639</w:t>
      </w:r>
      <w:r>
        <w:rPr>
          <w:rFonts w:ascii="Times New Roman" w:hAnsi="Times New Roman" w:cs="Times New Roman"/>
          <w:color w:val="000000" w:themeColor="text1"/>
          <w:szCs w:val="24"/>
        </w:rPr>
        <w:t xml:space="preserve"> „Dėl</w:t>
      </w:r>
      <w:r w:rsidRPr="007A5319">
        <w:rPr>
          <w:rFonts w:ascii="Times New Roman" w:hAnsi="Times New Roman" w:cs="Times New Roman"/>
          <w:color w:val="000000" w:themeColor="text1"/>
          <w:szCs w:val="24"/>
        </w:rPr>
        <w:t xml:space="preserve"> </w:t>
      </w:r>
      <w:r w:rsidRPr="0095257D">
        <w:rPr>
          <w:rFonts w:ascii="Times New Roman" w:hAnsi="Times New Roman" w:cs="Times New Roman"/>
          <w:color w:val="000000" w:themeColor="text1"/>
          <w:szCs w:val="24"/>
        </w:rPr>
        <w:t>Sankcijų už teisės aktų nuostatų pažeidimus įgyvendinant Lietuvos žuvininkystės sektoriaus 2014–2020 metų veiksmų programos priemones taikymo metodik</w:t>
      </w:r>
      <w:r>
        <w:rPr>
          <w:rFonts w:ascii="Times New Roman" w:hAnsi="Times New Roman" w:cs="Times New Roman"/>
          <w:color w:val="000000" w:themeColor="text1"/>
          <w:szCs w:val="24"/>
        </w:rPr>
        <w:t>os patvirtinimo“.</w:t>
      </w:r>
    </w:p>
  </w:footnote>
  <w:footnote w:id="3">
    <w:p w14:paraId="1D354B70" w14:textId="00D157A2" w:rsidR="00D74C71" w:rsidRPr="00684298" w:rsidRDefault="00D74C71" w:rsidP="00684298">
      <w:pPr>
        <w:pStyle w:val="FootnoteText"/>
        <w:jc w:val="both"/>
        <w:rPr>
          <w:rFonts w:ascii="Times New Roman" w:hAnsi="Times New Roman" w:cs="Times New Roman"/>
        </w:rPr>
      </w:pPr>
      <w:r>
        <w:rPr>
          <w:rStyle w:val="FootnoteReference"/>
        </w:rPr>
        <w:footnoteRef/>
      </w:r>
      <w:r>
        <w:t xml:space="preserve"> </w:t>
      </w:r>
      <w:r w:rsidRPr="00684298">
        <w:rPr>
          <w:rFonts w:ascii="Times New Roman" w:hAnsi="Times New Roman" w:cs="Times New Roman"/>
        </w:rPr>
        <w:t xml:space="preserve">Suteiktos paramos pagal </w:t>
      </w:r>
      <w:r w:rsidRPr="0095257D">
        <w:rPr>
          <w:rFonts w:ascii="Times New Roman" w:hAnsi="Times New Roman" w:cs="Times New Roman"/>
        </w:rPr>
        <w:t xml:space="preserve">Lietuvos žuvininkystės sektoriaus 2014–2020 metų </w:t>
      </w:r>
      <w:r>
        <w:rPr>
          <w:rFonts w:ascii="Times New Roman" w:hAnsi="Times New Roman" w:cs="Times New Roman"/>
        </w:rPr>
        <w:t>v</w:t>
      </w:r>
      <w:r w:rsidRPr="00684298">
        <w:rPr>
          <w:rFonts w:ascii="Times New Roman" w:hAnsi="Times New Roman" w:cs="Times New Roman"/>
        </w:rPr>
        <w:t>eiksmų program</w:t>
      </w:r>
      <w:r>
        <w:rPr>
          <w:rFonts w:ascii="Times New Roman" w:hAnsi="Times New Roman" w:cs="Times New Roman"/>
        </w:rPr>
        <w:t>ą</w:t>
      </w:r>
      <w:r w:rsidRPr="00684298">
        <w:rPr>
          <w:rFonts w:ascii="Times New Roman" w:hAnsi="Times New Roman" w:cs="Times New Roman"/>
        </w:rPr>
        <w:t xml:space="preserve"> viešinimo taisykl</w:t>
      </w:r>
      <w:r>
        <w:rPr>
          <w:rFonts w:ascii="Times New Roman" w:hAnsi="Times New Roman" w:cs="Times New Roman"/>
        </w:rPr>
        <w:t>ės</w:t>
      </w:r>
      <w:r w:rsidRPr="00684298">
        <w:rPr>
          <w:rFonts w:ascii="Times New Roman" w:hAnsi="Times New Roman" w:cs="Times New Roman"/>
        </w:rPr>
        <w:t>, patvirtint</w:t>
      </w:r>
      <w:r>
        <w:rPr>
          <w:rFonts w:ascii="Times New Roman" w:hAnsi="Times New Roman" w:cs="Times New Roman"/>
        </w:rPr>
        <w:t>os</w:t>
      </w:r>
      <w:r w:rsidRPr="00684298">
        <w:rPr>
          <w:rFonts w:ascii="Times New Roman" w:hAnsi="Times New Roman" w:cs="Times New Roman"/>
        </w:rPr>
        <w:t xml:space="preserve"> Lietuvos Respublikos žemės ūkio ministro 2016 m. vasario 25 d. įsakymu Nr. 3D-89 „Dėl Suteiktos paramos pagal Lietuvos žuvininkystės sektoriaus 2014–2020 metų veiksmų programą viešinimo taisyklių patvirtinimo“</w:t>
      </w:r>
      <w:r>
        <w:rPr>
          <w:rFonts w:ascii="Times New Roman" w:hAnsi="Times New Roman" w:cs="Times New Roman"/>
        </w:rPr>
        <w:t>.</w:t>
      </w:r>
    </w:p>
  </w:footnote>
  <w:footnote w:id="4">
    <w:p w14:paraId="394BD1A7" w14:textId="597EC73E" w:rsidR="00D74C71" w:rsidRPr="00684298" w:rsidRDefault="00D74C71" w:rsidP="00684298">
      <w:pPr>
        <w:pStyle w:val="FootnoteText"/>
        <w:jc w:val="both"/>
        <w:rPr>
          <w:rFonts w:ascii="Times New Roman" w:hAnsi="Times New Roman" w:cs="Times New Roman"/>
        </w:rPr>
      </w:pPr>
      <w:r>
        <w:rPr>
          <w:rStyle w:val="FootnoteReference"/>
        </w:rPr>
        <w:footnoteRef/>
      </w:r>
      <w:r>
        <w:t xml:space="preserve"> </w:t>
      </w:r>
      <w:r w:rsidRPr="00B262FD">
        <w:rPr>
          <w:rFonts w:ascii="Times New Roman" w:eastAsia="Times New Roman" w:hAnsi="Times New Roman" w:cs="Times New Roman"/>
          <w:szCs w:val="24"/>
          <w:lang w:eastAsia="lt-LT"/>
        </w:rPr>
        <w:t>T</w:t>
      </w:r>
      <w:r w:rsidRPr="00684298">
        <w:rPr>
          <w:rFonts w:ascii="Times New Roman" w:eastAsia="Times New Roman" w:hAnsi="Times New Roman" w:cs="Times New Roman"/>
          <w:szCs w:val="24"/>
          <w:lang w:eastAsia="lt-LT"/>
        </w:rPr>
        <w:t>echninis reglamentas „Mašinų sauga“, patvirtintas Lietuvos Respublikos socialinės apsaugos ir darbo ministro 2000 m. kovo 6 d. įsakymu Nr.  28 „Dėl techninio reglamento „Mašinų sauga“ patvirtinimo“</w:t>
      </w:r>
      <w:r w:rsidR="00B262FD">
        <w:rPr>
          <w:rFonts w:ascii="Times New Roman" w:eastAsia="Times New Roman" w:hAnsi="Times New Roman" w:cs="Times New Roman"/>
          <w:szCs w:val="24"/>
          <w:lang w:eastAsia="lt-LT"/>
        </w:rPr>
        <w:t>.</w:t>
      </w:r>
    </w:p>
  </w:footnote>
  <w:footnote w:id="5">
    <w:p w14:paraId="6F0A9AA9" w14:textId="50B6D437" w:rsidR="00B262FD" w:rsidRPr="00684298" w:rsidRDefault="00B262FD" w:rsidP="00684298">
      <w:pPr>
        <w:pStyle w:val="FootnoteText"/>
        <w:jc w:val="both"/>
        <w:rPr>
          <w:rFonts w:ascii="Times New Roman" w:hAnsi="Times New Roman" w:cs="Times New Roman"/>
        </w:rPr>
      </w:pPr>
      <w:r>
        <w:rPr>
          <w:rStyle w:val="FootnoteReference"/>
        </w:rPr>
        <w:footnoteRef/>
      </w:r>
      <w:r>
        <w:t xml:space="preserve"> </w:t>
      </w:r>
      <w:r w:rsidRPr="00684298">
        <w:rPr>
          <w:rFonts w:ascii="Times New Roman" w:hAnsi="Times New Roman" w:cs="Times New Roman"/>
        </w:rPr>
        <w:t>Galimai neteisėtų sąlygų gauti paramą nustatymo metodika, patvirtinta Lietuvos Respublikos žemės ūkio ministro 2016 m. gegužės 5 d. įsakymu Nr. 3D-285 „Dėl Galimai neteisėtų sąlygų gauti paramą nustatymo metodikos patvirtinimo“</w:t>
      </w:r>
      <w:r>
        <w:rPr>
          <w:rFonts w:ascii="Times New Roman" w:hAnsi="Times New Roman" w:cs="Times New Roman"/>
        </w:rPr>
        <w:t>.</w:t>
      </w:r>
    </w:p>
  </w:footnote>
  <w:footnote w:id="6">
    <w:p w14:paraId="2F695434" w14:textId="27A5DDF1" w:rsidR="00B262FD" w:rsidRPr="00684298" w:rsidRDefault="00B262FD" w:rsidP="00684298">
      <w:pPr>
        <w:pStyle w:val="FootnoteText"/>
        <w:jc w:val="both"/>
        <w:rPr>
          <w:color w:val="000000"/>
        </w:rPr>
      </w:pPr>
      <w:r>
        <w:rPr>
          <w:rStyle w:val="FootnoteReference"/>
        </w:rPr>
        <w:footnoteRef/>
      </w:r>
      <w:r>
        <w:t xml:space="preserve"> </w:t>
      </w:r>
      <w:r w:rsidR="00684298" w:rsidRPr="00684298">
        <w:rPr>
          <w:rFonts w:ascii="Times New Roman" w:hAnsi="Times New Roman" w:cs="Times New Roman"/>
          <w:color w:val="000000"/>
        </w:rPr>
        <w:t>Ūkio subjektų, siekiančių pasinaudoti parama pagal Lietuvos žuvininkystės sektoriaus 2014–2020 metų veiksmų programos priemones, ekonominio gyvybingumo nustatymo taisykl</w:t>
      </w:r>
      <w:r w:rsidR="0067110A">
        <w:rPr>
          <w:rFonts w:ascii="Times New Roman" w:hAnsi="Times New Roman" w:cs="Times New Roman"/>
          <w:color w:val="000000"/>
        </w:rPr>
        <w:t>ė</w:t>
      </w:r>
      <w:r w:rsidR="00684298" w:rsidRPr="00684298">
        <w:rPr>
          <w:rFonts w:ascii="Times New Roman" w:hAnsi="Times New Roman" w:cs="Times New Roman"/>
          <w:color w:val="000000"/>
        </w:rPr>
        <w:t>s</w:t>
      </w:r>
      <w:r w:rsidR="00752FE6" w:rsidRPr="00684298">
        <w:rPr>
          <w:rFonts w:ascii="Times New Roman" w:hAnsi="Times New Roman" w:cs="Times New Roman"/>
          <w:color w:val="000000"/>
        </w:rPr>
        <w:t>, patvirtint</w:t>
      </w:r>
      <w:r w:rsidR="0067110A">
        <w:rPr>
          <w:rFonts w:ascii="Times New Roman" w:hAnsi="Times New Roman" w:cs="Times New Roman"/>
          <w:color w:val="000000"/>
        </w:rPr>
        <w:t>o</w:t>
      </w:r>
      <w:r w:rsidR="00752FE6" w:rsidRPr="00684298">
        <w:rPr>
          <w:rFonts w:ascii="Times New Roman" w:hAnsi="Times New Roman" w:cs="Times New Roman"/>
          <w:color w:val="000000"/>
        </w:rPr>
        <w:t xml:space="preserve">s </w:t>
      </w:r>
      <w:r w:rsidR="00407D41" w:rsidRPr="00684298">
        <w:rPr>
          <w:rFonts w:ascii="Times New Roman" w:hAnsi="Times New Roman" w:cs="Times New Roman"/>
          <w:color w:val="000000"/>
        </w:rPr>
        <w:t xml:space="preserve">Lietuvos Respublikos žemės ūkio ministro 2015 m. lapkričio 24 d. įsakymu Nr. 3D-864 „Dėl </w:t>
      </w:r>
      <w:r w:rsidR="0067110A">
        <w:rPr>
          <w:rFonts w:ascii="Times New Roman" w:hAnsi="Times New Roman" w:cs="Times New Roman"/>
          <w:color w:val="000000"/>
        </w:rPr>
        <w:t>Ū</w:t>
      </w:r>
      <w:bookmarkStart w:id="0" w:name="_GoBack"/>
      <w:bookmarkEnd w:id="0"/>
      <w:r w:rsidR="00407D41" w:rsidRPr="00684298">
        <w:rPr>
          <w:rFonts w:ascii="Times New Roman" w:hAnsi="Times New Roman" w:cs="Times New Roman"/>
          <w:color w:val="000000"/>
        </w:rPr>
        <w:t>kio subjektų, siekiančių pasinaudoti parama pagal Lietuvos žuvininkystės sektoriaus 2014–2020 metų veiksmų programos priemones, ekonominio gyvybingumo nustatymo taisyklių patvirtinimo“</w:t>
      </w:r>
      <w:r w:rsidR="00684298">
        <w:rPr>
          <w:rFonts w:ascii="Times New Roman" w:hAnsi="Times New Roman" w:cs="Times New Roman"/>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592510"/>
      <w:docPartObj>
        <w:docPartGallery w:val="Page Numbers (Top of Page)"/>
        <w:docPartUnique/>
      </w:docPartObj>
    </w:sdtPr>
    <w:sdtEndPr/>
    <w:sdtContent>
      <w:p w14:paraId="270CB1BC" w14:textId="2336FD48" w:rsidR="00C14523" w:rsidRDefault="00C14523">
        <w:pPr>
          <w:pStyle w:val="Header"/>
          <w:jc w:val="center"/>
        </w:pPr>
        <w:r>
          <w:fldChar w:fldCharType="begin"/>
        </w:r>
        <w:r>
          <w:instrText>PAGE   \* MERGEFORMAT</w:instrText>
        </w:r>
        <w:r>
          <w:fldChar w:fldCharType="separate"/>
        </w:r>
        <w:r>
          <w:t>2</w:t>
        </w:r>
        <w:r>
          <w:fldChar w:fldCharType="end"/>
        </w:r>
      </w:p>
    </w:sdtContent>
  </w:sdt>
  <w:p w14:paraId="597F78C4" w14:textId="77777777" w:rsidR="00C14523" w:rsidRDefault="00C14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4C"/>
    <w:rsid w:val="00057D9B"/>
    <w:rsid w:val="00063823"/>
    <w:rsid w:val="001269F5"/>
    <w:rsid w:val="00161EE4"/>
    <w:rsid w:val="001A5722"/>
    <w:rsid w:val="00213954"/>
    <w:rsid w:val="002151F6"/>
    <w:rsid w:val="002311AC"/>
    <w:rsid w:val="0025089A"/>
    <w:rsid w:val="002A7519"/>
    <w:rsid w:val="002C4269"/>
    <w:rsid w:val="002C42E2"/>
    <w:rsid w:val="00373B66"/>
    <w:rsid w:val="003C61E9"/>
    <w:rsid w:val="00403B25"/>
    <w:rsid w:val="00407D41"/>
    <w:rsid w:val="00425718"/>
    <w:rsid w:val="005464CD"/>
    <w:rsid w:val="00562195"/>
    <w:rsid w:val="005733B0"/>
    <w:rsid w:val="0057356B"/>
    <w:rsid w:val="005802F3"/>
    <w:rsid w:val="00594332"/>
    <w:rsid w:val="005D55EB"/>
    <w:rsid w:val="005F39B5"/>
    <w:rsid w:val="0067110A"/>
    <w:rsid w:val="00684298"/>
    <w:rsid w:val="006E7A5D"/>
    <w:rsid w:val="00705344"/>
    <w:rsid w:val="00721116"/>
    <w:rsid w:val="00752FE6"/>
    <w:rsid w:val="00763095"/>
    <w:rsid w:val="007A5319"/>
    <w:rsid w:val="007D470A"/>
    <w:rsid w:val="007E55F9"/>
    <w:rsid w:val="00816559"/>
    <w:rsid w:val="00856DA8"/>
    <w:rsid w:val="008A3C00"/>
    <w:rsid w:val="008C5297"/>
    <w:rsid w:val="00920C47"/>
    <w:rsid w:val="00951903"/>
    <w:rsid w:val="00967199"/>
    <w:rsid w:val="009C4629"/>
    <w:rsid w:val="00A2180C"/>
    <w:rsid w:val="00A6481E"/>
    <w:rsid w:val="00AC119B"/>
    <w:rsid w:val="00B1078B"/>
    <w:rsid w:val="00B262FD"/>
    <w:rsid w:val="00B4392E"/>
    <w:rsid w:val="00BD0279"/>
    <w:rsid w:val="00BE4C97"/>
    <w:rsid w:val="00C13EB6"/>
    <w:rsid w:val="00C14523"/>
    <w:rsid w:val="00C36905"/>
    <w:rsid w:val="00C72971"/>
    <w:rsid w:val="00C9244E"/>
    <w:rsid w:val="00D74C71"/>
    <w:rsid w:val="00D819B6"/>
    <w:rsid w:val="00D915D1"/>
    <w:rsid w:val="00DD0E04"/>
    <w:rsid w:val="00E1314C"/>
    <w:rsid w:val="00E63003"/>
    <w:rsid w:val="00F07A15"/>
    <w:rsid w:val="00F12DE2"/>
    <w:rsid w:val="00F62F45"/>
    <w:rsid w:val="00FA0F89"/>
    <w:rsid w:val="00FB5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0997"/>
  <w15:chartTrackingRefBased/>
  <w15:docId w15:val="{C63C7CED-EAAD-478A-9082-D239138F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A5D"/>
    <w:pPr>
      <w:ind w:left="720"/>
      <w:contextualSpacing/>
    </w:pPr>
    <w:rPr>
      <w:rFonts w:ascii="Times New Roman" w:hAnsi="Times New Roman"/>
      <w:sz w:val="24"/>
    </w:rPr>
  </w:style>
  <w:style w:type="table" w:styleId="TableGrid">
    <w:name w:val="Table Grid"/>
    <w:basedOn w:val="TableNormal"/>
    <w:uiPriority w:val="39"/>
    <w:rsid w:val="006E7A5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A5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145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C14523"/>
  </w:style>
  <w:style w:type="paragraph" w:styleId="Footer">
    <w:name w:val="footer"/>
    <w:basedOn w:val="Normal"/>
    <w:link w:val="FooterChar"/>
    <w:uiPriority w:val="99"/>
    <w:unhideWhenUsed/>
    <w:rsid w:val="00C145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C14523"/>
  </w:style>
  <w:style w:type="paragraph" w:styleId="FootnoteText">
    <w:name w:val="footnote text"/>
    <w:basedOn w:val="Normal"/>
    <w:link w:val="FootnoteTextChar"/>
    <w:uiPriority w:val="99"/>
    <w:semiHidden/>
    <w:unhideWhenUsed/>
    <w:rsid w:val="002151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1F6"/>
    <w:rPr>
      <w:sz w:val="20"/>
      <w:szCs w:val="20"/>
    </w:rPr>
  </w:style>
  <w:style w:type="character" w:styleId="FootnoteReference">
    <w:name w:val="footnote reference"/>
    <w:basedOn w:val="DefaultParagraphFont"/>
    <w:uiPriority w:val="99"/>
    <w:semiHidden/>
    <w:unhideWhenUsed/>
    <w:rsid w:val="002151F6"/>
    <w:rPr>
      <w:vertAlign w:val="superscript"/>
    </w:rPr>
  </w:style>
  <w:style w:type="paragraph" w:styleId="BalloonText">
    <w:name w:val="Balloon Text"/>
    <w:basedOn w:val="Normal"/>
    <w:link w:val="BalloonTextChar"/>
    <w:uiPriority w:val="99"/>
    <w:semiHidden/>
    <w:unhideWhenUsed/>
    <w:rsid w:val="00215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F6"/>
    <w:rPr>
      <w:rFonts w:ascii="Segoe UI" w:hAnsi="Segoe UI" w:cs="Segoe UI"/>
      <w:sz w:val="18"/>
      <w:szCs w:val="18"/>
    </w:rPr>
  </w:style>
  <w:style w:type="character" w:styleId="CommentReference">
    <w:name w:val="annotation reference"/>
    <w:basedOn w:val="DefaultParagraphFont"/>
    <w:uiPriority w:val="99"/>
    <w:semiHidden/>
    <w:unhideWhenUsed/>
    <w:rsid w:val="002151F6"/>
    <w:rPr>
      <w:sz w:val="16"/>
      <w:szCs w:val="16"/>
    </w:rPr>
  </w:style>
  <w:style w:type="paragraph" w:styleId="CommentText">
    <w:name w:val="annotation text"/>
    <w:basedOn w:val="Normal"/>
    <w:link w:val="CommentTextChar"/>
    <w:uiPriority w:val="99"/>
    <w:semiHidden/>
    <w:unhideWhenUsed/>
    <w:rsid w:val="002151F6"/>
    <w:pPr>
      <w:spacing w:line="240" w:lineRule="auto"/>
    </w:pPr>
    <w:rPr>
      <w:sz w:val="20"/>
      <w:szCs w:val="20"/>
    </w:rPr>
  </w:style>
  <w:style w:type="character" w:customStyle="1" w:styleId="CommentTextChar">
    <w:name w:val="Comment Text Char"/>
    <w:basedOn w:val="DefaultParagraphFont"/>
    <w:link w:val="CommentText"/>
    <w:uiPriority w:val="99"/>
    <w:semiHidden/>
    <w:rsid w:val="002151F6"/>
    <w:rPr>
      <w:sz w:val="20"/>
      <w:szCs w:val="20"/>
    </w:rPr>
  </w:style>
  <w:style w:type="paragraph" w:styleId="CommentSubject">
    <w:name w:val="annotation subject"/>
    <w:basedOn w:val="CommentText"/>
    <w:next w:val="CommentText"/>
    <w:link w:val="CommentSubjectChar"/>
    <w:uiPriority w:val="99"/>
    <w:semiHidden/>
    <w:unhideWhenUsed/>
    <w:rsid w:val="002151F6"/>
    <w:rPr>
      <w:b/>
      <w:bCs/>
    </w:rPr>
  </w:style>
  <w:style w:type="character" w:customStyle="1" w:styleId="CommentSubjectChar">
    <w:name w:val="Comment Subject Char"/>
    <w:basedOn w:val="CommentTextChar"/>
    <w:link w:val="CommentSubject"/>
    <w:uiPriority w:val="99"/>
    <w:semiHidden/>
    <w:rsid w:val="002151F6"/>
    <w:rPr>
      <w:b/>
      <w:bCs/>
      <w:sz w:val="20"/>
      <w:szCs w:val="20"/>
    </w:rPr>
  </w:style>
  <w:style w:type="paragraph" w:styleId="Revision">
    <w:name w:val="Revision"/>
    <w:hidden/>
    <w:uiPriority w:val="99"/>
    <w:semiHidden/>
    <w:rsid w:val="00B262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65876">
      <w:bodyDiv w:val="1"/>
      <w:marLeft w:val="0"/>
      <w:marRight w:val="0"/>
      <w:marTop w:val="0"/>
      <w:marBottom w:val="0"/>
      <w:divBdr>
        <w:top w:val="none" w:sz="0" w:space="0" w:color="auto"/>
        <w:left w:val="none" w:sz="0" w:space="0" w:color="auto"/>
        <w:bottom w:val="none" w:sz="0" w:space="0" w:color="auto"/>
        <w:right w:val="none" w:sz="0" w:space="0" w:color="auto"/>
      </w:divBdr>
    </w:div>
    <w:div w:id="422072418">
      <w:bodyDiv w:val="1"/>
      <w:marLeft w:val="0"/>
      <w:marRight w:val="0"/>
      <w:marTop w:val="0"/>
      <w:marBottom w:val="0"/>
      <w:divBdr>
        <w:top w:val="none" w:sz="0" w:space="0" w:color="auto"/>
        <w:left w:val="none" w:sz="0" w:space="0" w:color="auto"/>
        <w:bottom w:val="none" w:sz="0" w:space="0" w:color="auto"/>
        <w:right w:val="none" w:sz="0" w:space="0" w:color="auto"/>
      </w:divBdr>
    </w:div>
    <w:div w:id="535822432">
      <w:bodyDiv w:val="1"/>
      <w:marLeft w:val="0"/>
      <w:marRight w:val="0"/>
      <w:marTop w:val="0"/>
      <w:marBottom w:val="0"/>
      <w:divBdr>
        <w:top w:val="none" w:sz="0" w:space="0" w:color="auto"/>
        <w:left w:val="none" w:sz="0" w:space="0" w:color="auto"/>
        <w:bottom w:val="none" w:sz="0" w:space="0" w:color="auto"/>
        <w:right w:val="none" w:sz="0" w:space="0" w:color="auto"/>
      </w:divBdr>
    </w:div>
    <w:div w:id="719019342">
      <w:bodyDiv w:val="1"/>
      <w:marLeft w:val="0"/>
      <w:marRight w:val="0"/>
      <w:marTop w:val="0"/>
      <w:marBottom w:val="0"/>
      <w:divBdr>
        <w:top w:val="none" w:sz="0" w:space="0" w:color="auto"/>
        <w:left w:val="none" w:sz="0" w:space="0" w:color="auto"/>
        <w:bottom w:val="none" w:sz="0" w:space="0" w:color="auto"/>
        <w:right w:val="none" w:sz="0" w:space="0" w:color="auto"/>
      </w:divBdr>
    </w:div>
    <w:div w:id="927234624">
      <w:bodyDiv w:val="1"/>
      <w:marLeft w:val="0"/>
      <w:marRight w:val="0"/>
      <w:marTop w:val="0"/>
      <w:marBottom w:val="0"/>
      <w:divBdr>
        <w:top w:val="none" w:sz="0" w:space="0" w:color="auto"/>
        <w:left w:val="none" w:sz="0" w:space="0" w:color="auto"/>
        <w:bottom w:val="none" w:sz="0" w:space="0" w:color="auto"/>
        <w:right w:val="none" w:sz="0" w:space="0" w:color="auto"/>
      </w:divBdr>
    </w:div>
    <w:div w:id="1067917366">
      <w:bodyDiv w:val="1"/>
      <w:marLeft w:val="0"/>
      <w:marRight w:val="0"/>
      <w:marTop w:val="0"/>
      <w:marBottom w:val="0"/>
      <w:divBdr>
        <w:top w:val="none" w:sz="0" w:space="0" w:color="auto"/>
        <w:left w:val="none" w:sz="0" w:space="0" w:color="auto"/>
        <w:bottom w:val="none" w:sz="0" w:space="0" w:color="auto"/>
        <w:right w:val="none" w:sz="0" w:space="0" w:color="auto"/>
      </w:divBdr>
    </w:div>
    <w:div w:id="1752967994">
      <w:bodyDiv w:val="1"/>
      <w:marLeft w:val="0"/>
      <w:marRight w:val="0"/>
      <w:marTop w:val="0"/>
      <w:marBottom w:val="0"/>
      <w:divBdr>
        <w:top w:val="none" w:sz="0" w:space="0" w:color="auto"/>
        <w:left w:val="none" w:sz="0" w:space="0" w:color="auto"/>
        <w:bottom w:val="none" w:sz="0" w:space="0" w:color="auto"/>
        <w:right w:val="none" w:sz="0" w:space="0" w:color="auto"/>
      </w:divBdr>
    </w:div>
    <w:div w:id="194538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A9FE2-AD45-4257-9750-40DFE5D9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7483</Words>
  <Characters>4266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Šalkauskė</dc:creator>
  <cp:keywords/>
  <dc:description/>
  <cp:lastModifiedBy>Gabrielė Būtaitė</cp:lastModifiedBy>
  <cp:revision>2</cp:revision>
  <dcterms:created xsi:type="dcterms:W3CDTF">2021-10-06T08:25:00Z</dcterms:created>
  <dcterms:modified xsi:type="dcterms:W3CDTF">2021-10-06T08:25:00Z</dcterms:modified>
</cp:coreProperties>
</file>