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24D" w:rsidRPr="00647837" w:rsidRDefault="0091524D" w:rsidP="0091524D">
      <w:pPr>
        <w:spacing w:after="0" w:line="240" w:lineRule="auto"/>
        <w:jc w:val="center"/>
        <w:rPr>
          <w:b/>
        </w:rPr>
      </w:pPr>
      <w:r w:rsidRPr="00647837">
        <w:rPr>
          <w:b/>
        </w:rPr>
        <w:t>ATMINTINĖ</w:t>
      </w:r>
    </w:p>
    <w:p w:rsidR="0091524D" w:rsidRPr="00753AF4" w:rsidRDefault="000071E6" w:rsidP="0091524D">
      <w:pPr>
        <w:spacing w:after="0" w:line="240" w:lineRule="auto"/>
        <w:jc w:val="center"/>
        <w:rPr>
          <w:rFonts w:cs="Times New Roman"/>
          <w:b/>
          <w:caps/>
          <w:szCs w:val="24"/>
        </w:rPr>
      </w:pPr>
      <w:r w:rsidRPr="00753AF4">
        <w:rPr>
          <w:b/>
          <w:caps/>
        </w:rPr>
        <w:t>P</w:t>
      </w:r>
      <w:r w:rsidR="0091524D" w:rsidRPr="00753AF4">
        <w:rPr>
          <w:b/>
          <w:caps/>
        </w:rPr>
        <w:t>areiškėjams</w:t>
      </w:r>
      <w:r w:rsidRPr="00753AF4">
        <w:rPr>
          <w:b/>
          <w:caps/>
        </w:rPr>
        <w:t>,</w:t>
      </w:r>
      <w:r w:rsidR="0091524D" w:rsidRPr="00753AF4">
        <w:rPr>
          <w:b/>
          <w:caps/>
        </w:rPr>
        <w:t xml:space="preserve">  </w:t>
      </w:r>
      <w:r w:rsidR="0091524D" w:rsidRPr="00753AF4">
        <w:rPr>
          <w:rFonts w:cs="Times New Roman"/>
          <w:b/>
          <w:caps/>
          <w:szCs w:val="24"/>
        </w:rPr>
        <w:t xml:space="preserve">teikusiems paraiškas </w:t>
      </w:r>
      <w:r w:rsidR="007A48A3">
        <w:rPr>
          <w:rFonts w:cs="Times New Roman"/>
          <w:b/>
          <w:caps/>
          <w:szCs w:val="24"/>
        </w:rPr>
        <w:t xml:space="preserve">NUO </w:t>
      </w:r>
      <w:r w:rsidR="00C22082">
        <w:rPr>
          <w:rFonts w:cs="Times New Roman"/>
          <w:b/>
          <w:caps/>
          <w:szCs w:val="24"/>
        </w:rPr>
        <w:t>2017-07</w:t>
      </w:r>
      <w:r w:rsidR="00C4090D" w:rsidRPr="00753AF4">
        <w:rPr>
          <w:rFonts w:cs="Times New Roman"/>
          <w:b/>
          <w:caps/>
          <w:szCs w:val="24"/>
        </w:rPr>
        <w:t>-</w:t>
      </w:r>
      <w:r w:rsidR="00C22082">
        <w:rPr>
          <w:rFonts w:cs="Times New Roman"/>
          <w:b/>
          <w:caps/>
          <w:szCs w:val="24"/>
        </w:rPr>
        <w:t>10</w:t>
      </w:r>
      <w:r w:rsidR="007A48A3">
        <w:rPr>
          <w:rFonts w:cs="Times New Roman"/>
          <w:b/>
          <w:caps/>
          <w:szCs w:val="24"/>
        </w:rPr>
        <w:t xml:space="preserve"> IKI </w:t>
      </w:r>
      <w:r w:rsidR="00C4090D" w:rsidRPr="00753AF4">
        <w:rPr>
          <w:rFonts w:cs="Times New Roman"/>
          <w:b/>
          <w:caps/>
          <w:szCs w:val="24"/>
        </w:rPr>
        <w:t>201</w:t>
      </w:r>
      <w:r w:rsidR="00C22082">
        <w:rPr>
          <w:rFonts w:cs="Times New Roman"/>
          <w:b/>
          <w:caps/>
          <w:szCs w:val="24"/>
        </w:rPr>
        <w:t>7</w:t>
      </w:r>
      <w:r w:rsidR="007A48A3">
        <w:rPr>
          <w:rFonts w:cs="Times New Roman"/>
          <w:b/>
          <w:caps/>
          <w:szCs w:val="24"/>
        </w:rPr>
        <w:t>-0</w:t>
      </w:r>
      <w:r w:rsidR="00C22082">
        <w:rPr>
          <w:rFonts w:cs="Times New Roman"/>
          <w:b/>
          <w:caps/>
          <w:szCs w:val="24"/>
        </w:rPr>
        <w:t>9-2</w:t>
      </w:r>
      <w:r w:rsidR="007A48A3">
        <w:rPr>
          <w:rFonts w:cs="Times New Roman"/>
          <w:b/>
          <w:caps/>
          <w:szCs w:val="24"/>
        </w:rPr>
        <w:t>2</w:t>
      </w:r>
      <w:r w:rsidR="00C4090D" w:rsidRPr="00753AF4">
        <w:rPr>
          <w:rFonts w:cs="Times New Roman"/>
          <w:b/>
          <w:caps/>
          <w:szCs w:val="24"/>
        </w:rPr>
        <w:t xml:space="preserve"> </w:t>
      </w:r>
      <w:r w:rsidR="0091524D" w:rsidRPr="00753AF4">
        <w:rPr>
          <w:rFonts w:cs="Times New Roman"/>
          <w:b/>
          <w:caps/>
          <w:szCs w:val="24"/>
        </w:rPr>
        <w:t xml:space="preserve">pagal </w:t>
      </w:r>
      <w:r w:rsidR="008E740D" w:rsidRPr="00753AF4">
        <w:rPr>
          <w:b/>
          <w:caps/>
        </w:rPr>
        <w:t xml:space="preserve">Lietuvos žuvininkystės sektoriaus 2014–2020 metų veiksmų programos </w:t>
      </w:r>
      <w:r w:rsidR="00B73075" w:rsidRPr="00753AF4">
        <w:rPr>
          <w:b/>
          <w:caps/>
        </w:rPr>
        <w:t>pirmojo</w:t>
      </w:r>
      <w:r w:rsidR="008E740D" w:rsidRPr="00753AF4">
        <w:rPr>
          <w:b/>
          <w:caps/>
        </w:rPr>
        <w:t xml:space="preserve"> Sąjungos prioriteto „</w:t>
      </w:r>
      <w:r w:rsidR="00B73075" w:rsidRPr="00753AF4">
        <w:rPr>
          <w:rFonts w:cs="Times New Roman"/>
          <w:b/>
          <w:bCs/>
          <w:caps/>
          <w:szCs w:val="24"/>
          <w:shd w:val="clear" w:color="auto" w:fill="FFFFFF"/>
        </w:rPr>
        <w:t>Aplinkosaugos požiūriu tvarios, efektyviai išteklius naudojančios, inovacinės, konkurencingos ir žiniomis grindžiamos žvejybos skatinimas</w:t>
      </w:r>
      <w:r w:rsidR="00B73075" w:rsidRPr="00753AF4">
        <w:rPr>
          <w:b/>
          <w:caps/>
          <w:lang w:val="en-GB"/>
        </w:rPr>
        <w:t xml:space="preserve"> </w:t>
      </w:r>
      <w:r w:rsidR="008E740D" w:rsidRPr="00753AF4">
        <w:rPr>
          <w:b/>
          <w:caps/>
          <w:lang w:val="en-GB"/>
        </w:rPr>
        <w:t>“</w:t>
      </w:r>
      <w:r w:rsidR="00820038" w:rsidRPr="00753AF4">
        <w:rPr>
          <w:rFonts w:cs="Times New Roman"/>
          <w:b/>
          <w:caps/>
          <w:szCs w:val="24"/>
        </w:rPr>
        <w:t xml:space="preserve"> </w:t>
      </w:r>
      <w:r w:rsidR="0091524D" w:rsidRPr="00753AF4">
        <w:rPr>
          <w:rFonts w:cs="Times New Roman"/>
          <w:b/>
          <w:caps/>
          <w:szCs w:val="24"/>
        </w:rPr>
        <w:t xml:space="preserve"> </w:t>
      </w:r>
      <w:r w:rsidR="00820038" w:rsidRPr="00753AF4">
        <w:rPr>
          <w:b/>
          <w:caps/>
          <w:lang w:val="en-GB"/>
        </w:rPr>
        <w:t>priemonės</w:t>
      </w:r>
      <w:r w:rsidR="00820038" w:rsidRPr="00753AF4">
        <w:rPr>
          <w:rStyle w:val="apple-converted-space"/>
          <w:b/>
          <w:bCs/>
          <w:caps/>
          <w:lang w:val="en-GB"/>
        </w:rPr>
        <w:t> </w:t>
      </w:r>
      <w:r w:rsidR="00820038" w:rsidRPr="00753AF4">
        <w:rPr>
          <w:b/>
          <w:caps/>
          <w:lang w:val="en-GB"/>
        </w:rPr>
        <w:t>„</w:t>
      </w:r>
      <w:r w:rsidR="00820038" w:rsidRPr="00753AF4">
        <w:rPr>
          <w:rFonts w:cs="Times New Roman"/>
          <w:b/>
          <w:bCs/>
          <w:caps/>
          <w:szCs w:val="24"/>
          <w:shd w:val="clear" w:color="auto" w:fill="FFFFFF"/>
        </w:rPr>
        <w:t>Pridėtinė vertė, produktų kokybė ir nepageidaujamos priegaudos naudojimas</w:t>
      </w:r>
      <w:r w:rsidR="00820038" w:rsidRPr="00753AF4">
        <w:rPr>
          <w:b/>
          <w:caps/>
          <w:lang w:val="en-GB"/>
        </w:rPr>
        <w:t xml:space="preserve"> “ </w:t>
      </w:r>
      <w:r w:rsidR="0091524D" w:rsidRPr="00753AF4">
        <w:rPr>
          <w:rFonts w:cs="Times New Roman"/>
          <w:b/>
          <w:caps/>
          <w:szCs w:val="24"/>
        </w:rPr>
        <w:t>įgyvendinimo taisykles, patvir</w:t>
      </w:r>
      <w:r w:rsidR="003F2327" w:rsidRPr="00753AF4">
        <w:rPr>
          <w:rFonts w:cs="Times New Roman"/>
          <w:b/>
          <w:caps/>
          <w:szCs w:val="24"/>
        </w:rPr>
        <w:t>t</w:t>
      </w:r>
      <w:r w:rsidR="0091524D" w:rsidRPr="00753AF4">
        <w:rPr>
          <w:rFonts w:cs="Times New Roman"/>
          <w:b/>
          <w:caps/>
          <w:szCs w:val="24"/>
        </w:rPr>
        <w:t xml:space="preserve">intas </w:t>
      </w:r>
      <w:r w:rsidR="008E740D" w:rsidRPr="00753AF4">
        <w:rPr>
          <w:rFonts w:cs="Times New Roman"/>
          <w:b/>
          <w:caps/>
          <w:szCs w:val="24"/>
        </w:rPr>
        <w:t xml:space="preserve">Lietuvos Respublikos žemės ūkio ministro </w:t>
      </w:r>
      <w:r w:rsidR="008E740D" w:rsidRPr="00753AF4">
        <w:rPr>
          <w:b/>
          <w:caps/>
        </w:rPr>
        <w:t>201</w:t>
      </w:r>
      <w:r w:rsidR="00C22082">
        <w:rPr>
          <w:b/>
          <w:caps/>
        </w:rPr>
        <w:t>7</w:t>
      </w:r>
      <w:r w:rsidR="008E740D" w:rsidRPr="00753AF4">
        <w:rPr>
          <w:b/>
          <w:caps/>
        </w:rPr>
        <w:t xml:space="preserve"> m. l</w:t>
      </w:r>
      <w:r w:rsidR="00C22082">
        <w:rPr>
          <w:b/>
          <w:caps/>
        </w:rPr>
        <w:t>IEPOS 10</w:t>
      </w:r>
      <w:r w:rsidR="008E740D" w:rsidRPr="00753AF4">
        <w:rPr>
          <w:b/>
          <w:caps/>
        </w:rPr>
        <w:t xml:space="preserve"> d. įsakymu Nr. 3D-</w:t>
      </w:r>
      <w:r w:rsidR="00C22082">
        <w:rPr>
          <w:b/>
          <w:caps/>
        </w:rPr>
        <w:t>453</w:t>
      </w:r>
      <w:r w:rsidR="008E740D" w:rsidRPr="00753AF4">
        <w:rPr>
          <w:b/>
          <w:caps/>
        </w:rPr>
        <w:t xml:space="preserve"> „Dėl Lietuvos žuvininkystės sektoriaus 2014–2020 metų veiksmų programos </w:t>
      </w:r>
      <w:r w:rsidR="00765BCA" w:rsidRPr="00753AF4">
        <w:rPr>
          <w:b/>
          <w:caps/>
        </w:rPr>
        <w:t>pirmojo</w:t>
      </w:r>
      <w:r w:rsidR="008E740D" w:rsidRPr="00753AF4">
        <w:rPr>
          <w:b/>
          <w:caps/>
        </w:rPr>
        <w:t xml:space="preserve"> Sąjungos prioriteto </w:t>
      </w:r>
      <w:r w:rsidR="00765BCA" w:rsidRPr="00753AF4">
        <w:rPr>
          <w:b/>
          <w:caps/>
        </w:rPr>
        <w:t>„</w:t>
      </w:r>
      <w:r w:rsidR="00765BCA" w:rsidRPr="00753AF4">
        <w:rPr>
          <w:rFonts w:cs="Times New Roman"/>
          <w:b/>
          <w:bCs/>
          <w:caps/>
          <w:szCs w:val="24"/>
          <w:shd w:val="clear" w:color="auto" w:fill="FFFFFF"/>
        </w:rPr>
        <w:t>Aplinkosaugos požiūriu tvarios, efektyviai išteklius naudojančios, inovacinės, konkurencingos ir žiniomis grindžiamos žvejybos skatinimas“</w:t>
      </w:r>
      <w:r w:rsidR="00765BCA" w:rsidRPr="00753AF4">
        <w:rPr>
          <w:b/>
          <w:caps/>
          <w:lang w:val="en-GB"/>
        </w:rPr>
        <w:t xml:space="preserve"> </w:t>
      </w:r>
      <w:r w:rsidR="008E740D" w:rsidRPr="00753AF4">
        <w:rPr>
          <w:b/>
          <w:caps/>
          <w:lang w:val="en-GB"/>
        </w:rPr>
        <w:t>priemonės</w:t>
      </w:r>
      <w:r w:rsidR="008E740D" w:rsidRPr="00753AF4">
        <w:rPr>
          <w:rStyle w:val="apple-converted-space"/>
          <w:b/>
          <w:bCs/>
          <w:caps/>
          <w:lang w:val="en-GB"/>
        </w:rPr>
        <w:t> </w:t>
      </w:r>
      <w:r w:rsidR="008E740D" w:rsidRPr="00753AF4">
        <w:rPr>
          <w:b/>
          <w:caps/>
          <w:lang w:val="en-GB"/>
        </w:rPr>
        <w:t>„</w:t>
      </w:r>
      <w:r w:rsidR="00E66289" w:rsidRPr="00753AF4">
        <w:rPr>
          <w:rFonts w:cs="Times New Roman"/>
          <w:b/>
          <w:bCs/>
          <w:caps/>
          <w:szCs w:val="24"/>
          <w:shd w:val="clear" w:color="auto" w:fill="FFFFFF"/>
        </w:rPr>
        <w:t>Pridėtinė vertė, produktų kokybė ir nepageidaujamos priegaudos naudojimas</w:t>
      </w:r>
      <w:r w:rsidR="00E85B00" w:rsidRPr="00753AF4">
        <w:rPr>
          <w:b/>
          <w:caps/>
          <w:lang w:val="en-GB"/>
        </w:rPr>
        <w:t xml:space="preserve"> </w:t>
      </w:r>
      <w:r w:rsidR="008E740D" w:rsidRPr="00753AF4">
        <w:rPr>
          <w:b/>
          <w:caps/>
          <w:lang w:val="en-GB"/>
        </w:rPr>
        <w:t>“</w:t>
      </w:r>
      <w:r w:rsidR="008E740D" w:rsidRPr="00753AF4">
        <w:rPr>
          <w:rStyle w:val="apple-converted-space"/>
          <w:b/>
          <w:caps/>
        </w:rPr>
        <w:t> </w:t>
      </w:r>
      <w:r w:rsidR="008E740D" w:rsidRPr="00753AF4">
        <w:rPr>
          <w:b/>
          <w:caps/>
        </w:rPr>
        <w:t>įgyvendinimo taisyklių patvirtinimo“</w:t>
      </w:r>
    </w:p>
    <w:p w:rsidR="006E150E" w:rsidRDefault="006E150E" w:rsidP="00753B6A">
      <w:pPr>
        <w:spacing w:after="0" w:line="240" w:lineRule="auto"/>
        <w:rPr>
          <w:rFonts w:cs="Times New Roman"/>
          <w:color w:val="000000" w:themeColor="text1"/>
          <w:szCs w:val="24"/>
        </w:rPr>
      </w:pPr>
    </w:p>
    <w:p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8075"/>
        <w:gridCol w:w="3827"/>
        <w:gridCol w:w="2694"/>
      </w:tblGrid>
      <w:tr w:rsidR="0091524D" w:rsidRPr="00337AE5" w:rsidTr="00E15C3B">
        <w:tc>
          <w:tcPr>
            <w:tcW w:w="8075"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Privalu žinoti</w:t>
            </w:r>
          </w:p>
        </w:tc>
        <w:tc>
          <w:tcPr>
            <w:tcW w:w="3827"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Taikoma sankcija</w:t>
            </w:r>
          </w:p>
        </w:tc>
        <w:tc>
          <w:tcPr>
            <w:tcW w:w="2694"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Nuoroda į teisės aktą</w:t>
            </w:r>
          </w:p>
        </w:tc>
      </w:tr>
      <w:tr w:rsidR="00E66289" w:rsidRPr="00337AE5" w:rsidTr="00E15C3B">
        <w:tc>
          <w:tcPr>
            <w:tcW w:w="8075" w:type="dxa"/>
          </w:tcPr>
          <w:p w:rsidR="00E66289" w:rsidRPr="00B5346D" w:rsidRDefault="00E66289" w:rsidP="00DE1068">
            <w:pPr>
              <w:tabs>
                <w:tab w:val="left" w:pos="601"/>
              </w:tabs>
              <w:ind w:right="-57"/>
              <w:jc w:val="both"/>
              <w:rPr>
                <w:rFonts w:cs="Times New Roman"/>
                <w:szCs w:val="24"/>
              </w:rPr>
            </w:pPr>
            <w:r w:rsidRPr="00B5346D">
              <w:rPr>
                <w:rFonts w:cs="Times New Roman"/>
                <w:szCs w:val="24"/>
                <w:shd w:val="clear" w:color="auto" w:fill="FFFFFF"/>
              </w:rPr>
              <w:t>Pradėti įgyvendinti projektą per 9 mėnesius nuo sprendimo suteikti paramą dienos</w:t>
            </w:r>
            <w:r w:rsidR="00924C46">
              <w:rPr>
                <w:rFonts w:cs="Times New Roman"/>
                <w:szCs w:val="24"/>
                <w:shd w:val="clear" w:color="auto" w:fill="FFFFFF"/>
              </w:rPr>
              <w:t>.</w:t>
            </w:r>
          </w:p>
        </w:tc>
        <w:tc>
          <w:tcPr>
            <w:tcW w:w="3827" w:type="dxa"/>
          </w:tcPr>
          <w:p w:rsidR="00E66289" w:rsidRPr="00B5346D" w:rsidRDefault="00A117F6" w:rsidP="00A90978">
            <w:pPr>
              <w:pStyle w:val="Text3"/>
              <w:snapToGrid w:val="0"/>
              <w:spacing w:after="0"/>
              <w:ind w:left="0"/>
              <w:jc w:val="left"/>
              <w:rPr>
                <w:szCs w:val="24"/>
                <w:lang w:val="lt-LT"/>
              </w:rPr>
            </w:pPr>
            <w:r w:rsidRPr="00B5346D">
              <w:rPr>
                <w:szCs w:val="24"/>
                <w:lang w:val="lt-LT"/>
              </w:rPr>
              <w:t>Paramos neskyrimas, sumažinimas arba paramos susigrąžinimas 0,5–100 proc. nuo išmokėtos ar mokėtinos paramos sumos, bet ne mažiau nei 100,01 Eur.</w:t>
            </w:r>
          </w:p>
        </w:tc>
        <w:tc>
          <w:tcPr>
            <w:tcW w:w="2694" w:type="dxa"/>
          </w:tcPr>
          <w:p w:rsidR="00E66289" w:rsidRPr="00B5346D" w:rsidRDefault="00A117F6" w:rsidP="00DE1068">
            <w:pPr>
              <w:jc w:val="both"/>
              <w:rPr>
                <w:rFonts w:cs="Times New Roman"/>
                <w:szCs w:val="24"/>
              </w:rPr>
            </w:pPr>
            <w:r w:rsidRPr="00B5346D">
              <w:rPr>
                <w:rFonts w:cs="Times New Roman"/>
                <w:szCs w:val="24"/>
              </w:rPr>
              <w:t>Sankcijų už teisės aktų nuostatų pažeidimus įgyvendinant Lietuvos žuvininkystės sektoriaus 2014–2020 metų veiksmų programos priemones taikymo metodika (2015-08-13, Nr. 3D-639)</w:t>
            </w:r>
          </w:p>
        </w:tc>
      </w:tr>
      <w:tr w:rsidR="00B7196F" w:rsidRPr="00337AE5" w:rsidTr="00E15C3B">
        <w:tc>
          <w:tcPr>
            <w:tcW w:w="8075" w:type="dxa"/>
          </w:tcPr>
          <w:p w:rsidR="00B7196F" w:rsidRPr="00B5346D" w:rsidRDefault="00924C46">
            <w:pPr>
              <w:tabs>
                <w:tab w:val="left" w:pos="601"/>
              </w:tabs>
              <w:ind w:right="-57"/>
              <w:jc w:val="both"/>
              <w:rPr>
                <w:rFonts w:cs="Times New Roman"/>
                <w:color w:val="00B050"/>
                <w:szCs w:val="24"/>
                <w:shd w:val="clear" w:color="auto" w:fill="FFFFFF"/>
              </w:rPr>
            </w:pPr>
            <w:r>
              <w:rPr>
                <w:rFonts w:cs="Times New Roman"/>
                <w:color w:val="000000"/>
                <w:szCs w:val="24"/>
                <w:shd w:val="clear" w:color="auto" w:fill="FFFFFF"/>
              </w:rPr>
              <w:t>Per p</w:t>
            </w:r>
            <w:r w:rsidR="00B7196F" w:rsidRPr="00B5346D">
              <w:rPr>
                <w:rFonts w:cs="Times New Roman"/>
                <w:color w:val="000000"/>
                <w:szCs w:val="24"/>
                <w:shd w:val="clear" w:color="auto" w:fill="FFFFFF"/>
              </w:rPr>
              <w:t>rojekto įgyvendinimo ir kontrolės laikotarpį nepadaryti veikų, nurodytų Reglamento (ES) Nr. 508/2014</w:t>
            </w:r>
            <w:r w:rsidR="00B7196F" w:rsidRPr="00B5346D">
              <w:rPr>
                <w:rStyle w:val="apple-converted-space"/>
                <w:rFonts w:cs="Times New Roman"/>
                <w:color w:val="000000"/>
                <w:szCs w:val="24"/>
                <w:shd w:val="clear" w:color="auto" w:fill="FFFFFF"/>
              </w:rPr>
              <w:t> </w:t>
            </w:r>
            <w:bookmarkStart w:id="0" w:name="n1_89"/>
            <w:r w:rsidR="00B7196F" w:rsidRPr="00B5346D">
              <w:rPr>
                <w:rFonts w:cs="Times New Roman"/>
                <w:szCs w:val="24"/>
              </w:rPr>
              <w:fldChar w:fldCharType="begin"/>
            </w:r>
            <w:r w:rsidR="00B7196F" w:rsidRPr="00B5346D">
              <w:rPr>
                <w:rFonts w:cs="Times New Roman"/>
                <w:szCs w:val="24"/>
              </w:rPr>
              <w:instrText xml:space="preserve"> HYPERLINK "javascript:OL('77961','10')" \o "Statybos techninės veiklos pagrindinės sritys (str. 10)" </w:instrText>
            </w:r>
            <w:r w:rsidR="00B7196F" w:rsidRPr="00B5346D">
              <w:rPr>
                <w:rFonts w:cs="Times New Roman"/>
                <w:szCs w:val="24"/>
              </w:rPr>
              <w:fldChar w:fldCharType="separate"/>
            </w:r>
            <w:r w:rsidR="00B7196F" w:rsidRPr="00B5346D">
              <w:rPr>
                <w:rStyle w:val="Hyperlink"/>
                <w:rFonts w:cs="Times New Roman"/>
                <w:i/>
                <w:iCs/>
                <w:color w:val="000000"/>
                <w:szCs w:val="24"/>
                <w:shd w:val="clear" w:color="auto" w:fill="FFFFFF"/>
              </w:rPr>
              <w:t>10</w:t>
            </w:r>
            <w:r w:rsidR="00B7196F" w:rsidRPr="00B5346D">
              <w:rPr>
                <w:rFonts w:cs="Times New Roman"/>
                <w:szCs w:val="24"/>
              </w:rPr>
              <w:fldChar w:fldCharType="end"/>
            </w:r>
            <w:bookmarkStart w:id="1" w:name="pn1_89"/>
            <w:bookmarkEnd w:id="0"/>
            <w:bookmarkEnd w:id="1"/>
            <w:r w:rsidR="00B7196F" w:rsidRPr="00B5346D">
              <w:rPr>
                <w:rStyle w:val="apple-converted-space"/>
                <w:rFonts w:cs="Times New Roman"/>
                <w:color w:val="000000"/>
                <w:szCs w:val="24"/>
                <w:shd w:val="clear" w:color="auto" w:fill="FFFFFF"/>
              </w:rPr>
              <w:t> </w:t>
            </w:r>
            <w:r w:rsidR="00B7196F" w:rsidRPr="00B5346D">
              <w:rPr>
                <w:rFonts w:cs="Times New Roman"/>
                <w:color w:val="000000"/>
                <w:szCs w:val="24"/>
                <w:shd w:val="clear" w:color="auto" w:fill="FFFFFF"/>
              </w:rPr>
              <w:t>straipsnio 1 dalies a-c punktuose ir 3 dalyje</w:t>
            </w:r>
            <w:r>
              <w:rPr>
                <w:rFonts w:cs="Times New Roman"/>
                <w:color w:val="000000"/>
                <w:szCs w:val="24"/>
                <w:shd w:val="clear" w:color="auto" w:fill="FFFFFF"/>
              </w:rPr>
              <w:t>.</w:t>
            </w:r>
          </w:p>
        </w:tc>
        <w:tc>
          <w:tcPr>
            <w:tcW w:w="3827" w:type="dxa"/>
          </w:tcPr>
          <w:p w:rsidR="00B7196F" w:rsidRPr="00B7196F" w:rsidRDefault="00B7196F" w:rsidP="00B7196F">
            <w:pPr>
              <w:pStyle w:val="Text3"/>
              <w:snapToGrid w:val="0"/>
              <w:spacing w:after="0"/>
              <w:ind w:left="0"/>
              <w:jc w:val="left"/>
              <w:rPr>
                <w:szCs w:val="24"/>
                <w:lang w:val="lt-LT"/>
              </w:rPr>
            </w:pPr>
            <w:r w:rsidRPr="00B7196F">
              <w:rPr>
                <w:szCs w:val="24"/>
              </w:rPr>
              <w:t>Sankcijos dydis priklauso nuo nustatyto pažeidimo pobūdžio, masto bei sunkumo.</w:t>
            </w:r>
          </w:p>
        </w:tc>
        <w:tc>
          <w:tcPr>
            <w:tcW w:w="2694" w:type="dxa"/>
          </w:tcPr>
          <w:p w:rsidR="00B7196F" w:rsidRPr="00B7196F" w:rsidRDefault="00B7196F" w:rsidP="00B7196F">
            <w:pPr>
              <w:jc w:val="both"/>
              <w:rPr>
                <w:rFonts w:cs="Times New Roman"/>
                <w:szCs w:val="24"/>
              </w:rPr>
            </w:pPr>
            <w:r w:rsidRPr="00B7196F">
              <w:rPr>
                <w:rFonts w:cs="Times New Roman"/>
                <w:szCs w:val="24"/>
              </w:rPr>
              <w:t>Sankcijų už teisės aktų nuostatų pažeidimus įgyvendinant Lietuvos žuvininkystės sektoriaus 2014–2020 metų veiksmų programos priemones taikymo metodika (2015-08-13, Nr. 3D-639)</w:t>
            </w:r>
          </w:p>
        </w:tc>
      </w:tr>
      <w:tr w:rsidR="00B7196F" w:rsidRPr="00337AE5" w:rsidTr="00E15C3B">
        <w:tc>
          <w:tcPr>
            <w:tcW w:w="8075" w:type="dxa"/>
          </w:tcPr>
          <w:p w:rsidR="00B7196F" w:rsidRPr="00B7196F" w:rsidRDefault="00B7196F" w:rsidP="00B7196F">
            <w:pPr>
              <w:tabs>
                <w:tab w:val="left" w:pos="601"/>
              </w:tabs>
              <w:ind w:right="-57"/>
              <w:jc w:val="both"/>
              <w:rPr>
                <w:rFonts w:cs="Times New Roman"/>
                <w:szCs w:val="24"/>
                <w:shd w:val="clear" w:color="auto" w:fill="FFFFFF"/>
              </w:rPr>
            </w:pPr>
            <w:r w:rsidRPr="00B7196F">
              <w:rPr>
                <w:rFonts w:cs="Times New Roman"/>
                <w:szCs w:val="24"/>
                <w:shd w:val="clear" w:color="auto" w:fill="FFFFFF"/>
              </w:rPr>
              <w:t>Nuo paramos paraiškos pateikimo datos iki projekto kontrolės laikotarpio pabaigos tvarkyti buhalterinę apskaitą Taisyklių 11.9 papunktyje nustatyta tvarka</w:t>
            </w:r>
            <w:r w:rsidR="00924C46">
              <w:rPr>
                <w:rFonts w:cs="Times New Roman"/>
                <w:szCs w:val="24"/>
                <w:shd w:val="clear" w:color="auto" w:fill="FFFFFF"/>
              </w:rPr>
              <w:t>.</w:t>
            </w:r>
          </w:p>
        </w:tc>
        <w:tc>
          <w:tcPr>
            <w:tcW w:w="3827" w:type="dxa"/>
          </w:tcPr>
          <w:p w:rsidR="00B7196F" w:rsidRPr="00B7196F" w:rsidRDefault="00B7196F" w:rsidP="00B7196F">
            <w:pPr>
              <w:pStyle w:val="Text3"/>
              <w:snapToGrid w:val="0"/>
              <w:spacing w:after="0"/>
              <w:ind w:left="0"/>
              <w:jc w:val="left"/>
              <w:rPr>
                <w:szCs w:val="24"/>
                <w:lang w:val="lt-LT"/>
              </w:rPr>
            </w:pPr>
            <w:r w:rsidRPr="00B7196F">
              <w:rPr>
                <w:szCs w:val="24"/>
                <w:lang w:val="lt-LT"/>
              </w:rPr>
              <w:t>Paramos sumažinimas arba paramos susigrąžinimas 0,5–10 proc. nuo išmokėtos paramos sumos, bet ne mažiau nei 100,01 Eur.</w:t>
            </w:r>
          </w:p>
          <w:p w:rsidR="00B7196F" w:rsidRPr="00B7196F" w:rsidRDefault="00B7196F" w:rsidP="00B7196F">
            <w:pPr>
              <w:pStyle w:val="Text3"/>
              <w:snapToGrid w:val="0"/>
              <w:spacing w:after="0"/>
              <w:ind w:left="0"/>
              <w:jc w:val="left"/>
              <w:rPr>
                <w:szCs w:val="24"/>
                <w:lang w:val="lt-LT"/>
              </w:rPr>
            </w:pPr>
          </w:p>
        </w:tc>
        <w:tc>
          <w:tcPr>
            <w:tcW w:w="2694" w:type="dxa"/>
          </w:tcPr>
          <w:p w:rsidR="00B7196F" w:rsidRPr="00B7196F" w:rsidRDefault="00B7196F" w:rsidP="00B7196F">
            <w:pPr>
              <w:jc w:val="both"/>
              <w:rPr>
                <w:rFonts w:cs="Times New Roman"/>
                <w:szCs w:val="24"/>
              </w:rPr>
            </w:pPr>
            <w:r w:rsidRPr="00B7196F">
              <w:rPr>
                <w:rFonts w:cs="Times New Roman"/>
                <w:szCs w:val="24"/>
              </w:rPr>
              <w:t xml:space="preserve">Sankcijų už teisės aktų nuostatų pažeidimus įgyvendinant Lietuvos žuvininkystės sektoriaus 2014–2020 metų veiksmų </w:t>
            </w:r>
            <w:r w:rsidRPr="00B7196F">
              <w:rPr>
                <w:rFonts w:cs="Times New Roman"/>
                <w:szCs w:val="24"/>
              </w:rPr>
              <w:lastRenderedPageBreak/>
              <w:t>programos priemones taikymo metodika (2015-08-13, Nr. 3D-639)</w:t>
            </w:r>
          </w:p>
        </w:tc>
      </w:tr>
      <w:tr w:rsidR="00B7196F" w:rsidRPr="00337AE5" w:rsidTr="00E15C3B">
        <w:tc>
          <w:tcPr>
            <w:tcW w:w="8075" w:type="dxa"/>
          </w:tcPr>
          <w:p w:rsidR="00B7196F" w:rsidRPr="00B7196F" w:rsidRDefault="00B7196F" w:rsidP="00B7196F">
            <w:pPr>
              <w:tabs>
                <w:tab w:val="left" w:pos="601"/>
              </w:tabs>
              <w:ind w:right="-57"/>
              <w:jc w:val="both"/>
              <w:rPr>
                <w:rFonts w:cs="Times New Roman"/>
                <w:szCs w:val="24"/>
                <w:shd w:val="clear" w:color="auto" w:fill="FFFFFF"/>
              </w:rPr>
            </w:pPr>
            <w:r w:rsidRPr="00B7196F">
              <w:rPr>
                <w:rFonts w:cs="Times New Roman"/>
                <w:szCs w:val="24"/>
                <w:shd w:val="clear" w:color="auto" w:fill="FFFFFF"/>
              </w:rPr>
              <w:lastRenderedPageBreak/>
              <w:t>Apdrausti turtą, kuriam įsigyti ar sukurti bus panaudota parama, nuo turto įsigijimo pradžios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paramos gavėjas įsipareigoja atstatyti turtą ne mažesne negu atkuriamąja turto verte ir ne</w:t>
            </w:r>
            <w:r w:rsidR="00924C46">
              <w:rPr>
                <w:rFonts w:cs="Times New Roman"/>
                <w:szCs w:val="24"/>
                <w:shd w:val="clear" w:color="auto" w:fill="FFFFFF"/>
              </w:rPr>
              <w:t xml:space="preserve"> </w:t>
            </w:r>
            <w:r w:rsidRPr="00B7196F">
              <w:rPr>
                <w:rFonts w:cs="Times New Roman"/>
                <w:szCs w:val="24"/>
                <w:shd w:val="clear" w:color="auto" w:fill="FFFFFF"/>
              </w:rPr>
              <w:t>blogesnių techninių parametrų</w:t>
            </w:r>
            <w:r w:rsidR="00924C46">
              <w:rPr>
                <w:rFonts w:cs="Times New Roman"/>
                <w:szCs w:val="24"/>
                <w:shd w:val="clear" w:color="auto" w:fill="FFFFFF"/>
              </w:rPr>
              <w:t>.</w:t>
            </w:r>
          </w:p>
        </w:tc>
        <w:tc>
          <w:tcPr>
            <w:tcW w:w="3827" w:type="dxa"/>
          </w:tcPr>
          <w:p w:rsidR="00B7196F" w:rsidRPr="00B7196F" w:rsidRDefault="00B7196F" w:rsidP="00B7196F">
            <w:pPr>
              <w:pStyle w:val="Text3"/>
              <w:snapToGrid w:val="0"/>
              <w:spacing w:after="0"/>
              <w:ind w:left="0"/>
              <w:rPr>
                <w:szCs w:val="24"/>
                <w:lang w:val="lt-LT"/>
              </w:rPr>
            </w:pPr>
            <w:r w:rsidRPr="00B7196F">
              <w:rPr>
                <w:szCs w:val="24"/>
                <w:lang w:val="lt-LT"/>
              </w:rPr>
              <w:t>Paramos sumažinimas ir (arba) paramos susigrąžinimas 0,5–4 proc. nuo neapdraustos investicijos sumos be PVM, bet ne mažiau nei 100,01 Eur.</w:t>
            </w:r>
          </w:p>
          <w:p w:rsidR="00B7196F" w:rsidRPr="00B7196F" w:rsidRDefault="00B7196F" w:rsidP="00B7196F">
            <w:pPr>
              <w:pStyle w:val="Text3"/>
              <w:snapToGrid w:val="0"/>
              <w:spacing w:after="0"/>
              <w:ind w:left="0"/>
              <w:jc w:val="left"/>
              <w:rPr>
                <w:szCs w:val="24"/>
                <w:lang w:val="lt-LT"/>
              </w:rPr>
            </w:pPr>
          </w:p>
        </w:tc>
        <w:tc>
          <w:tcPr>
            <w:tcW w:w="2694" w:type="dxa"/>
          </w:tcPr>
          <w:p w:rsidR="00B7196F" w:rsidRPr="00B7196F" w:rsidRDefault="00B7196F" w:rsidP="00B7196F">
            <w:pPr>
              <w:jc w:val="both"/>
              <w:rPr>
                <w:rFonts w:cs="Times New Roman"/>
                <w:szCs w:val="24"/>
              </w:rPr>
            </w:pPr>
            <w:r w:rsidRPr="00B7196F">
              <w:rPr>
                <w:rFonts w:cs="Times New Roman"/>
                <w:szCs w:val="24"/>
              </w:rPr>
              <w:t>Sankcijų už teisės aktų nuostatų pažeidimus įgyvendinant Lietuvos žuvininkystės sektoriaus 2014–2020 metų veiksmų programos priemones taikymo metodika (2015-08-13, Nr. 3D-639)</w:t>
            </w:r>
          </w:p>
        </w:tc>
      </w:tr>
      <w:tr w:rsidR="00B7196F" w:rsidRPr="00337AE5" w:rsidTr="00E15C3B">
        <w:tc>
          <w:tcPr>
            <w:tcW w:w="8075" w:type="dxa"/>
          </w:tcPr>
          <w:p w:rsidR="00B7196F" w:rsidRPr="00B7196F" w:rsidRDefault="00B7196F" w:rsidP="00B7196F">
            <w:pPr>
              <w:tabs>
                <w:tab w:val="left" w:pos="601"/>
              </w:tabs>
              <w:ind w:right="-57"/>
              <w:jc w:val="both"/>
              <w:rPr>
                <w:rFonts w:cs="Times New Roman"/>
                <w:szCs w:val="24"/>
                <w:shd w:val="clear" w:color="auto" w:fill="FFFFFF"/>
              </w:rPr>
            </w:pPr>
            <w:r w:rsidRPr="00B7196F">
              <w:rPr>
                <w:rFonts w:cs="Times New Roman"/>
                <w:szCs w:val="24"/>
                <w:shd w:val="clear" w:color="auto" w:fill="FFFFFF"/>
              </w:rPr>
              <w:t xml:space="preserve">Mažiausiai penkerius metus nuo sprendimo skirti paramą priėmimo nekeisti remiamos veiklos pobūdžio, projekto įgyvendinimo sąlygų, ir nuosavybės formos, neįkeisti, neparduoti ir kitaip neperduoti kitam asmeniui už paramos lėšas įgytos nuosavybės, nenutraukti projekto veiklos, nekeisti projekto įgyvendinimo vietos. Projekto keitimai galimi laikantis sąlygų, nustatytų Administravimo taisyklių 169 punkte. </w:t>
            </w:r>
          </w:p>
        </w:tc>
        <w:tc>
          <w:tcPr>
            <w:tcW w:w="3827" w:type="dxa"/>
          </w:tcPr>
          <w:p w:rsidR="00B7196F" w:rsidRPr="00B7196F" w:rsidRDefault="00B7196F" w:rsidP="00B7196F">
            <w:pPr>
              <w:pStyle w:val="Text3"/>
              <w:snapToGrid w:val="0"/>
              <w:spacing w:after="0"/>
              <w:ind w:left="0"/>
              <w:jc w:val="left"/>
              <w:rPr>
                <w:szCs w:val="24"/>
                <w:lang w:val="lt-LT"/>
              </w:rPr>
            </w:pPr>
            <w:r w:rsidRPr="00B7196F">
              <w:rPr>
                <w:bCs/>
                <w:szCs w:val="24"/>
                <w:lang w:val="lt-LT"/>
              </w:rPr>
              <w:t xml:space="preserve">Paramos susigrąžinimas lygus skirtos paramos už parduotą turtą vertei arba 100 proc. </w:t>
            </w:r>
            <w:r w:rsidRPr="00B7196F">
              <w:rPr>
                <w:szCs w:val="24"/>
                <w:lang w:val="lt-LT"/>
              </w:rPr>
              <w:t>nuo</w:t>
            </w:r>
            <w:r w:rsidRPr="00B7196F">
              <w:rPr>
                <w:bCs/>
                <w:szCs w:val="24"/>
                <w:lang w:val="lt-LT"/>
              </w:rPr>
              <w:t xml:space="preserve"> </w:t>
            </w:r>
            <w:r w:rsidRPr="00B7196F">
              <w:rPr>
                <w:szCs w:val="24"/>
                <w:lang w:val="lt-LT"/>
              </w:rPr>
              <w:t>išmokėtos paramos sumos.</w:t>
            </w:r>
          </w:p>
        </w:tc>
        <w:tc>
          <w:tcPr>
            <w:tcW w:w="2694" w:type="dxa"/>
          </w:tcPr>
          <w:p w:rsidR="00B7196F" w:rsidRPr="00B7196F" w:rsidRDefault="00B7196F" w:rsidP="00B7196F">
            <w:pPr>
              <w:jc w:val="both"/>
              <w:rPr>
                <w:rFonts w:cs="Times New Roman"/>
                <w:szCs w:val="24"/>
              </w:rPr>
            </w:pPr>
            <w:r w:rsidRPr="00B7196F">
              <w:rPr>
                <w:rFonts w:cs="Times New Roman"/>
                <w:szCs w:val="24"/>
              </w:rPr>
              <w:t>Sankcijų už teisės aktų nuostatų pažeidimus įgyvendinant Lietuvos žuvininkystės sektoriaus 2014–2020 metų veiksmų programos priemones taikymo metodika (2015-08-13, Nr. 3D-639)</w:t>
            </w:r>
          </w:p>
        </w:tc>
      </w:tr>
      <w:tr w:rsidR="00B7196F" w:rsidRPr="00337AE5" w:rsidTr="00E15C3B">
        <w:tc>
          <w:tcPr>
            <w:tcW w:w="8075" w:type="dxa"/>
          </w:tcPr>
          <w:p w:rsidR="00B7196F" w:rsidRPr="00B7196F" w:rsidRDefault="00B7196F" w:rsidP="00B7196F">
            <w:pPr>
              <w:tabs>
                <w:tab w:val="left" w:pos="601"/>
              </w:tabs>
              <w:ind w:right="-57"/>
              <w:jc w:val="both"/>
              <w:rPr>
                <w:rFonts w:cs="Times New Roman"/>
                <w:szCs w:val="24"/>
                <w:shd w:val="clear" w:color="auto" w:fill="FFFFFF"/>
              </w:rPr>
            </w:pPr>
            <w:r w:rsidRPr="00B7196F">
              <w:rPr>
                <w:szCs w:val="24"/>
              </w:rPr>
              <w:t xml:space="preserve">Nuo paramos paraiškos pateikimo iki projekto kontrolės laikotarpio pabaigos neįkeisti už paramos lėšas įgytos nuosavybės. </w:t>
            </w:r>
            <w:r w:rsidRPr="00B7196F">
              <w:rPr>
                <w:rFonts w:cs="Times New Roman"/>
                <w:szCs w:val="24"/>
                <w:shd w:val="clear" w:color="auto" w:fill="FFFFFF"/>
              </w:rPr>
              <w:t>Leidimą įkeisti turtą kredito įstaigoms gali suteikti Agentūra ir tik tiems paramos gavėjams, kurie projektą finansuoja iš kredito įstaigos suteiktos paskolos. Įkeičiamas turtas turi būti kaip paskolos, kuria finansuojamas projekto įgyvendinimas, grąžinimo garantas</w:t>
            </w:r>
            <w:r w:rsidR="00924C46">
              <w:rPr>
                <w:rFonts w:cs="Times New Roman"/>
                <w:szCs w:val="24"/>
                <w:shd w:val="clear" w:color="auto" w:fill="FFFFFF"/>
              </w:rPr>
              <w:t>.</w:t>
            </w:r>
          </w:p>
        </w:tc>
        <w:tc>
          <w:tcPr>
            <w:tcW w:w="3827" w:type="dxa"/>
          </w:tcPr>
          <w:p w:rsidR="00B7196F" w:rsidRPr="00B7196F" w:rsidRDefault="00B7196F" w:rsidP="00753AF4">
            <w:pPr>
              <w:jc w:val="both"/>
              <w:rPr>
                <w:bCs/>
                <w:szCs w:val="24"/>
              </w:rPr>
            </w:pPr>
            <w:r w:rsidRPr="00B7196F">
              <w:rPr>
                <w:szCs w:val="24"/>
              </w:rPr>
              <w:t>Paramos sumažinimas ir (arba) susigrąžinimas</w:t>
            </w:r>
            <w:r w:rsidR="00767038">
              <w:rPr>
                <w:szCs w:val="24"/>
              </w:rPr>
              <w:t xml:space="preserve"> (</w:t>
            </w:r>
            <w:r w:rsidRPr="00B7196F">
              <w:rPr>
                <w:szCs w:val="24"/>
              </w:rPr>
              <w:t>0,5–100 proc. nuo investicijos, bet ne mažiau nei 100,01 Eur</w:t>
            </w:r>
            <w:r w:rsidR="00767038">
              <w:rPr>
                <w:szCs w:val="24"/>
              </w:rPr>
              <w:t>)</w:t>
            </w:r>
            <w:r w:rsidRPr="00B7196F">
              <w:rPr>
                <w:szCs w:val="24"/>
              </w:rPr>
              <w:t>.</w:t>
            </w:r>
          </w:p>
        </w:tc>
        <w:tc>
          <w:tcPr>
            <w:tcW w:w="2694" w:type="dxa"/>
          </w:tcPr>
          <w:p w:rsidR="00B7196F" w:rsidRPr="00B7196F" w:rsidRDefault="00B7196F" w:rsidP="00B7196F">
            <w:pPr>
              <w:jc w:val="both"/>
              <w:rPr>
                <w:rFonts w:cs="Times New Roman"/>
                <w:szCs w:val="24"/>
              </w:rPr>
            </w:pPr>
            <w:r w:rsidRPr="00B7196F">
              <w:rPr>
                <w:szCs w:val="24"/>
              </w:rPr>
              <w:t>Sankcijų už teisės aktų nuostatų pažeidimus įgyvendinant Lietuvos žuvininkystės sektoriaus 2014–2020 metų veiksmų programos priemones taikymo metodika (2015-08-13, Nr. 3D-639)</w:t>
            </w:r>
          </w:p>
        </w:tc>
      </w:tr>
      <w:tr w:rsidR="00847D96" w:rsidRPr="00337AE5" w:rsidTr="00E15C3B">
        <w:tc>
          <w:tcPr>
            <w:tcW w:w="8075" w:type="dxa"/>
          </w:tcPr>
          <w:p w:rsidR="00847D96" w:rsidRPr="004F44DB" w:rsidRDefault="00847D96" w:rsidP="00847D96">
            <w:pPr>
              <w:tabs>
                <w:tab w:val="left" w:pos="601"/>
              </w:tabs>
              <w:ind w:right="-57"/>
              <w:jc w:val="both"/>
              <w:rPr>
                <w:rFonts w:cs="Times New Roman"/>
                <w:szCs w:val="24"/>
                <w:shd w:val="clear" w:color="auto" w:fill="FFFFFF"/>
              </w:rPr>
            </w:pPr>
            <w:r w:rsidRPr="004F44DB">
              <w:rPr>
                <w:rFonts w:cs="Times New Roman"/>
                <w:szCs w:val="24"/>
                <w:shd w:val="clear" w:color="auto" w:fill="FFFFFF"/>
              </w:rPr>
              <w:t>Baigus numatytus statybos (naujo statinio statyba, statinio rekonstravimas ar kapitalinis remontas) ir (arba) infrastruktūros kūrimo darbus</w:t>
            </w:r>
            <w:r w:rsidR="00924C46">
              <w:rPr>
                <w:rFonts w:cs="Times New Roman"/>
                <w:szCs w:val="24"/>
                <w:shd w:val="clear" w:color="auto" w:fill="FFFFFF"/>
              </w:rPr>
              <w:t>,</w:t>
            </w:r>
            <w:r w:rsidRPr="004F44DB">
              <w:rPr>
                <w:rFonts w:cs="Times New Roman"/>
                <w:szCs w:val="24"/>
                <w:shd w:val="clear" w:color="auto" w:fill="FFFFFF"/>
              </w:rPr>
              <w:t xml:space="preserve"> pateikti statybos baigimo dokumentus (ne vėliau kaip su paskutiniuoju mokėjimo prašymu)</w:t>
            </w:r>
            <w:r w:rsidR="00924C46">
              <w:rPr>
                <w:rFonts w:cs="Times New Roman"/>
                <w:szCs w:val="24"/>
                <w:shd w:val="clear" w:color="auto" w:fill="FFFFFF"/>
              </w:rPr>
              <w:t>.</w:t>
            </w:r>
          </w:p>
        </w:tc>
        <w:tc>
          <w:tcPr>
            <w:tcW w:w="3827" w:type="dxa"/>
          </w:tcPr>
          <w:p w:rsidR="00847D96" w:rsidRPr="007151B4" w:rsidRDefault="00847D96" w:rsidP="00847D96">
            <w:pPr>
              <w:pStyle w:val="Text3"/>
              <w:snapToGrid w:val="0"/>
              <w:spacing w:after="0"/>
              <w:ind w:left="0"/>
              <w:jc w:val="left"/>
              <w:rPr>
                <w:szCs w:val="24"/>
                <w:lang w:val="lt-LT"/>
              </w:rPr>
            </w:pPr>
            <w:r w:rsidRPr="00B7196F">
              <w:rPr>
                <w:szCs w:val="24"/>
              </w:rPr>
              <w:t>Sankcijos dydis priklauso nuo nustatyto pažeidimo pobūdžio, masto bei sunkumo.</w:t>
            </w:r>
          </w:p>
        </w:tc>
        <w:tc>
          <w:tcPr>
            <w:tcW w:w="2694" w:type="dxa"/>
          </w:tcPr>
          <w:p w:rsidR="00847D96" w:rsidRPr="00C63861" w:rsidRDefault="00847D96" w:rsidP="00847D96">
            <w:pPr>
              <w:jc w:val="both"/>
              <w:rPr>
                <w:rFonts w:cs="Times New Roman"/>
                <w:color w:val="000000" w:themeColor="text1"/>
                <w:szCs w:val="24"/>
              </w:rPr>
            </w:pPr>
            <w:r w:rsidRPr="00B7196F">
              <w:rPr>
                <w:rFonts w:cs="Times New Roman"/>
                <w:szCs w:val="24"/>
              </w:rPr>
              <w:t xml:space="preserve">Sankcijų už teisės aktų nuostatų pažeidimus įgyvendinant Lietuvos žuvininkystės sektoriaus </w:t>
            </w:r>
            <w:r w:rsidRPr="00B7196F">
              <w:rPr>
                <w:rFonts w:cs="Times New Roman"/>
                <w:szCs w:val="24"/>
              </w:rPr>
              <w:lastRenderedPageBreak/>
              <w:t>2014–2020 metų veiksmų programos priemones taikymo metodika (2015-08-13, Nr. 3D-639)</w:t>
            </w:r>
          </w:p>
        </w:tc>
      </w:tr>
      <w:tr w:rsidR="00847D96" w:rsidRPr="00337AE5" w:rsidTr="00E15C3B">
        <w:tc>
          <w:tcPr>
            <w:tcW w:w="8075" w:type="dxa"/>
          </w:tcPr>
          <w:p w:rsidR="00847D96" w:rsidRPr="00847D96" w:rsidRDefault="00847D96" w:rsidP="00847D96">
            <w:pPr>
              <w:tabs>
                <w:tab w:val="left" w:pos="601"/>
              </w:tabs>
              <w:ind w:right="-57"/>
              <w:jc w:val="both"/>
              <w:rPr>
                <w:rFonts w:cs="Times New Roman"/>
                <w:szCs w:val="24"/>
                <w:shd w:val="clear" w:color="auto" w:fill="FFFFFF"/>
              </w:rPr>
            </w:pPr>
            <w:r w:rsidRPr="00847D96">
              <w:rPr>
                <w:rFonts w:cs="Times New Roman"/>
                <w:szCs w:val="24"/>
                <w:shd w:val="clear" w:color="auto" w:fill="FFFFFF"/>
              </w:rPr>
              <w:lastRenderedPageBreak/>
              <w:t>Užtikrina, kad</w:t>
            </w:r>
            <w:r w:rsidR="00DA6C61">
              <w:rPr>
                <w:rFonts w:cs="Times New Roman"/>
                <w:szCs w:val="24"/>
                <w:shd w:val="clear" w:color="auto" w:fill="FFFFFF"/>
              </w:rPr>
              <w:t>,</w:t>
            </w:r>
            <w:r w:rsidRPr="00847D96">
              <w:rPr>
                <w:rFonts w:cs="Times New Roman"/>
                <w:szCs w:val="24"/>
                <w:shd w:val="clear" w:color="auto" w:fill="FFFFFF"/>
              </w:rPr>
              <w:t xml:space="preserve"> įgyvendinus projektą, investicijos atitiks Valstybinės maisto ir veterinarijos tarnybos kontroliuojamus teisės aktų reikalavimus, kai investicijoms yra taikomi tokie reikalavimai. </w:t>
            </w:r>
          </w:p>
        </w:tc>
        <w:tc>
          <w:tcPr>
            <w:tcW w:w="3827" w:type="dxa"/>
          </w:tcPr>
          <w:p w:rsidR="00847D96" w:rsidRPr="00847D96" w:rsidRDefault="00847D96" w:rsidP="00847D96">
            <w:pPr>
              <w:pStyle w:val="Text3"/>
              <w:snapToGrid w:val="0"/>
              <w:spacing w:after="0"/>
              <w:ind w:left="0"/>
              <w:jc w:val="left"/>
              <w:rPr>
                <w:szCs w:val="24"/>
                <w:lang w:val="lt-LT"/>
              </w:rPr>
            </w:pPr>
            <w:r w:rsidRPr="00847D96">
              <w:rPr>
                <w:szCs w:val="24"/>
              </w:rPr>
              <w:t>Sankcijos dydis priklauso nuo nustatyto pažeidimo pobūdžio, masto bei sunkumo.</w:t>
            </w:r>
          </w:p>
        </w:tc>
        <w:tc>
          <w:tcPr>
            <w:tcW w:w="2694" w:type="dxa"/>
          </w:tcPr>
          <w:p w:rsidR="00847D96" w:rsidRPr="00847D96" w:rsidRDefault="00847D96" w:rsidP="00847D96">
            <w:pPr>
              <w:jc w:val="both"/>
              <w:rPr>
                <w:rFonts w:cs="Times New Roman"/>
                <w:szCs w:val="24"/>
              </w:rPr>
            </w:pPr>
            <w:r w:rsidRPr="00847D96">
              <w:rPr>
                <w:rFonts w:cs="Times New Roman"/>
                <w:szCs w:val="24"/>
              </w:rPr>
              <w:t>Sankcijų už teisės aktų nuostatų pažeidimus įgyvendinant Lietuvos žuvininkystės sektoriaus 2014–2020 metų veiksmų programos priemones taikymo metodika (2015-08-13, Nr. 3D-639)</w:t>
            </w:r>
          </w:p>
        </w:tc>
      </w:tr>
      <w:tr w:rsidR="00847D96" w:rsidRPr="00337AE5" w:rsidTr="00E15C3B">
        <w:tc>
          <w:tcPr>
            <w:tcW w:w="8075" w:type="dxa"/>
          </w:tcPr>
          <w:p w:rsidR="00847D96" w:rsidRPr="00847D96" w:rsidRDefault="00847D96" w:rsidP="00847D96">
            <w:pPr>
              <w:tabs>
                <w:tab w:val="left" w:pos="601"/>
              </w:tabs>
              <w:ind w:right="-57"/>
              <w:jc w:val="both"/>
              <w:rPr>
                <w:rFonts w:cs="Times New Roman"/>
                <w:szCs w:val="24"/>
                <w:shd w:val="clear" w:color="auto" w:fill="FFFFFF"/>
              </w:rPr>
            </w:pPr>
            <w:r w:rsidRPr="00847D96">
              <w:rPr>
                <w:rFonts w:cs="Times New Roman"/>
                <w:szCs w:val="24"/>
                <w:shd w:val="clear" w:color="auto" w:fill="FFFFFF"/>
              </w:rPr>
              <w:t>Pareiškėjas ir paramos gavėjas įsipareigoja sudaryti sąlygas asmenims, turintiems teisę audituoti ir (arba) kontroliuoti, tikrinti, kaip yra vykdoma veikla, laikomasi sąlygų, už ką buvo skirta kompensacinė išmoka, kaip yra vykdomas projektas ir (arba) kaip vykdoma veikla po lėšų projektui įgyvendinti skyrimo ir (arba) projekto įgyvendinimo pabaigos</w:t>
            </w:r>
            <w:r w:rsidR="00DA6C61">
              <w:rPr>
                <w:rFonts w:cs="Times New Roman"/>
                <w:szCs w:val="24"/>
                <w:shd w:val="clear" w:color="auto" w:fill="FFFFFF"/>
              </w:rPr>
              <w:t>.</w:t>
            </w:r>
          </w:p>
        </w:tc>
        <w:tc>
          <w:tcPr>
            <w:tcW w:w="3827" w:type="dxa"/>
          </w:tcPr>
          <w:p w:rsidR="00847D96" w:rsidRPr="00847D96" w:rsidRDefault="00847D96" w:rsidP="00847D96">
            <w:pPr>
              <w:pStyle w:val="Text3"/>
              <w:snapToGrid w:val="0"/>
              <w:spacing w:after="0"/>
              <w:ind w:left="0"/>
              <w:jc w:val="left"/>
              <w:rPr>
                <w:szCs w:val="24"/>
                <w:lang w:val="lt-LT"/>
              </w:rPr>
            </w:pPr>
            <w:r w:rsidRPr="00847D96">
              <w:rPr>
                <w:szCs w:val="24"/>
                <w:lang w:val="lt-LT"/>
              </w:rPr>
              <w:t xml:space="preserve">Paramos neskyrimas arba susigrąžinimas 100 proc. </w:t>
            </w:r>
          </w:p>
          <w:p w:rsidR="00847D96" w:rsidRPr="00847D96" w:rsidRDefault="00847D96" w:rsidP="00847D96">
            <w:pPr>
              <w:pStyle w:val="Text3"/>
              <w:snapToGrid w:val="0"/>
              <w:spacing w:after="0"/>
              <w:ind w:left="0"/>
              <w:jc w:val="left"/>
              <w:rPr>
                <w:szCs w:val="24"/>
                <w:lang w:val="lt-LT"/>
              </w:rPr>
            </w:pPr>
          </w:p>
        </w:tc>
        <w:tc>
          <w:tcPr>
            <w:tcW w:w="2694" w:type="dxa"/>
          </w:tcPr>
          <w:p w:rsidR="00847D96" w:rsidRPr="00847D96" w:rsidRDefault="00847D96" w:rsidP="00847D96">
            <w:pPr>
              <w:jc w:val="both"/>
              <w:rPr>
                <w:rFonts w:cs="Times New Roman"/>
                <w:szCs w:val="24"/>
              </w:rPr>
            </w:pPr>
            <w:r w:rsidRPr="00847D96">
              <w:rPr>
                <w:rFonts w:cs="Times New Roman"/>
                <w:szCs w:val="24"/>
              </w:rPr>
              <w:t>Sankcijų už teisės aktų nuostatų pažeidimus įgyvendinant Lietuvos žuvininkystės sektoriaus 2014–2020 metų veiksmų programos priemones taikymo metodika (2015-08-13, Nr. 3D-639)</w:t>
            </w:r>
          </w:p>
        </w:tc>
      </w:tr>
      <w:tr w:rsidR="00847D96" w:rsidRPr="00337AE5" w:rsidTr="00E15C3B">
        <w:tc>
          <w:tcPr>
            <w:tcW w:w="8075" w:type="dxa"/>
          </w:tcPr>
          <w:p w:rsidR="00847D96" w:rsidRPr="00D96FA7" w:rsidRDefault="00847D96" w:rsidP="00847D96">
            <w:pPr>
              <w:tabs>
                <w:tab w:val="left" w:pos="601"/>
              </w:tabs>
              <w:ind w:right="-57"/>
              <w:jc w:val="both"/>
              <w:rPr>
                <w:rFonts w:cs="Times New Roman"/>
                <w:szCs w:val="24"/>
                <w:shd w:val="clear" w:color="auto" w:fill="FFFFFF"/>
              </w:rPr>
            </w:pPr>
            <w:r w:rsidRPr="00D96FA7">
              <w:rPr>
                <w:rFonts w:cs="Times New Roman"/>
                <w:szCs w:val="24"/>
                <w:shd w:val="clear" w:color="auto" w:fill="FFFFFF"/>
              </w:rPr>
              <w:t>Pareiškėjas įsipareigoja teikti visą informaciją ir duomenis, reikalingus statistikos tikslams ir programos įgyvendinimo stebėsenai bei reikalingiems vertinimams atlikti</w:t>
            </w:r>
            <w:r w:rsidR="00DA6C61">
              <w:rPr>
                <w:rFonts w:cs="Times New Roman"/>
                <w:szCs w:val="24"/>
                <w:shd w:val="clear" w:color="auto" w:fill="FFFFFF"/>
              </w:rPr>
              <w:t>.</w:t>
            </w:r>
          </w:p>
        </w:tc>
        <w:tc>
          <w:tcPr>
            <w:tcW w:w="3827" w:type="dxa"/>
          </w:tcPr>
          <w:p w:rsidR="00847D96" w:rsidRPr="00D96FA7" w:rsidRDefault="00847D96" w:rsidP="00847D96">
            <w:pPr>
              <w:pStyle w:val="Text3"/>
              <w:snapToGrid w:val="0"/>
              <w:spacing w:after="0"/>
              <w:ind w:left="0"/>
              <w:jc w:val="left"/>
              <w:rPr>
                <w:szCs w:val="24"/>
                <w:lang w:val="lt-LT"/>
              </w:rPr>
            </w:pPr>
            <w:r w:rsidRPr="00D96FA7">
              <w:rPr>
                <w:szCs w:val="24"/>
                <w:lang w:val="lt-LT"/>
              </w:rPr>
              <w:t xml:space="preserve">Paramos sumažinimas </w:t>
            </w:r>
            <w:r w:rsidRPr="00D96FA7">
              <w:rPr>
                <w:bCs/>
                <w:szCs w:val="24"/>
              </w:rPr>
              <w:t>ir (arba)</w:t>
            </w:r>
            <w:r w:rsidRPr="00D96FA7">
              <w:rPr>
                <w:szCs w:val="24"/>
                <w:lang w:val="lt-LT"/>
              </w:rPr>
              <w:t xml:space="preserve"> susigrąžinimas (projekto ar kontrolės laikotarpiu) 0,5–100 proc. nuo išmokėtos paramos sumos, bet ne mažiau nei 100,01 Eur.</w:t>
            </w:r>
          </w:p>
        </w:tc>
        <w:tc>
          <w:tcPr>
            <w:tcW w:w="2694" w:type="dxa"/>
          </w:tcPr>
          <w:p w:rsidR="00847D96" w:rsidRPr="00D96FA7" w:rsidRDefault="00847D96" w:rsidP="00847D96">
            <w:pPr>
              <w:jc w:val="both"/>
              <w:rPr>
                <w:rFonts w:cs="Times New Roman"/>
                <w:szCs w:val="24"/>
              </w:rPr>
            </w:pPr>
            <w:r w:rsidRPr="00D96FA7">
              <w:rPr>
                <w:rFonts w:cs="Times New Roman"/>
                <w:szCs w:val="24"/>
              </w:rPr>
              <w:t>Sankcijų už teisės aktų nuostatų pažeidimus įgyvendinant Lietuvos žuvininkystės sektoriaus 2014–2020 metų veiksmų programos priemones taikymo metodika (2015-08-13, Nr. 3D-639)</w:t>
            </w:r>
          </w:p>
        </w:tc>
      </w:tr>
      <w:tr w:rsidR="00847D96" w:rsidRPr="00337AE5" w:rsidTr="00E15C3B">
        <w:tc>
          <w:tcPr>
            <w:tcW w:w="8075" w:type="dxa"/>
          </w:tcPr>
          <w:p w:rsidR="00847D96" w:rsidRPr="00DD6288" w:rsidRDefault="00847D96" w:rsidP="00847D96">
            <w:pPr>
              <w:tabs>
                <w:tab w:val="left" w:pos="601"/>
              </w:tabs>
              <w:ind w:right="-57"/>
              <w:jc w:val="both"/>
              <w:rPr>
                <w:rFonts w:cs="Times New Roman"/>
                <w:szCs w:val="24"/>
                <w:shd w:val="clear" w:color="auto" w:fill="FFFFFF"/>
              </w:rPr>
            </w:pPr>
            <w:r w:rsidRPr="00DD6288">
              <w:rPr>
                <w:rFonts w:cs="Times New Roman"/>
                <w:szCs w:val="24"/>
                <w:shd w:val="clear" w:color="auto" w:fill="FFFFFF"/>
              </w:rPr>
              <w:t>Pareiškėjas įsipareigoja viešinti paramą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w:t>
            </w:r>
            <w:r w:rsidRPr="00DD6288">
              <w:rPr>
                <w:rStyle w:val="apple-converted-space"/>
                <w:rFonts w:cs="Times New Roman"/>
                <w:b/>
                <w:bCs/>
                <w:szCs w:val="24"/>
                <w:shd w:val="clear" w:color="auto" w:fill="FFFFFF"/>
              </w:rPr>
              <w:t> </w:t>
            </w:r>
            <w:r w:rsidRPr="00DD6288">
              <w:rPr>
                <w:rFonts w:cs="Times New Roman"/>
                <w:szCs w:val="24"/>
                <w:shd w:val="clear" w:color="auto" w:fill="FFFFFF"/>
              </w:rPr>
              <w:t>nustatyta tvarka</w:t>
            </w:r>
            <w:r w:rsidR="00DA6C61">
              <w:rPr>
                <w:rFonts w:cs="Times New Roman"/>
                <w:szCs w:val="24"/>
                <w:shd w:val="clear" w:color="auto" w:fill="FFFFFF"/>
              </w:rPr>
              <w:t>.</w:t>
            </w:r>
          </w:p>
        </w:tc>
        <w:tc>
          <w:tcPr>
            <w:tcW w:w="3827" w:type="dxa"/>
          </w:tcPr>
          <w:p w:rsidR="00847D96" w:rsidRPr="00DD6288" w:rsidRDefault="00847D96" w:rsidP="00847D96">
            <w:pPr>
              <w:pStyle w:val="Text3"/>
              <w:snapToGrid w:val="0"/>
              <w:spacing w:after="0"/>
              <w:ind w:left="0"/>
              <w:jc w:val="left"/>
              <w:rPr>
                <w:szCs w:val="24"/>
                <w:lang w:val="lt-LT"/>
              </w:rPr>
            </w:pPr>
            <w:r w:rsidRPr="00DD6288">
              <w:rPr>
                <w:szCs w:val="24"/>
                <w:lang w:val="lt-LT"/>
              </w:rPr>
              <w:t xml:space="preserve">Paramos teikimo sustabdymas arba </w:t>
            </w:r>
            <w:r w:rsidRPr="00DD6288">
              <w:t>paramos sumažinimas (projekto arba verslo plano įgyvendinimo metu) 1</w:t>
            </w:r>
            <w:r w:rsidR="00007051">
              <w:t> </w:t>
            </w:r>
            <w:r w:rsidRPr="00DD6288">
              <w:t>proc. nuo skirtos paramos sumos</w:t>
            </w:r>
            <w:r w:rsidR="00007051">
              <w:t>.</w:t>
            </w:r>
            <w:r w:rsidRPr="00DD6288">
              <w:rPr>
                <w:szCs w:val="24"/>
                <w:lang w:val="lt-LT"/>
              </w:rPr>
              <w:t xml:space="preserve"> </w:t>
            </w:r>
          </w:p>
          <w:p w:rsidR="00847D96" w:rsidRPr="00DD6288" w:rsidRDefault="00847D96" w:rsidP="00847D96">
            <w:pPr>
              <w:pStyle w:val="Text3"/>
              <w:snapToGrid w:val="0"/>
              <w:spacing w:after="0"/>
              <w:ind w:left="0"/>
              <w:jc w:val="left"/>
              <w:rPr>
                <w:szCs w:val="24"/>
                <w:lang w:val="lt-LT"/>
              </w:rPr>
            </w:pPr>
            <w:r w:rsidRPr="00DD6288">
              <w:rPr>
                <w:szCs w:val="24"/>
                <w:lang w:val="lt-LT"/>
              </w:rPr>
              <w:t xml:space="preserve">Paramos susigrąžinimas (projekto arba verslo plano kontrolės </w:t>
            </w:r>
            <w:r w:rsidRPr="00DD6288">
              <w:rPr>
                <w:szCs w:val="24"/>
                <w:lang w:val="lt-LT"/>
              </w:rPr>
              <w:lastRenderedPageBreak/>
              <w:t>laikotarpiu) 0,5 proc. nuo išmokėtos paramos sumos, bet ne mažiau nei 100,01 Eur.</w:t>
            </w:r>
          </w:p>
        </w:tc>
        <w:tc>
          <w:tcPr>
            <w:tcW w:w="2694" w:type="dxa"/>
          </w:tcPr>
          <w:p w:rsidR="00847D96" w:rsidRPr="00DD6288" w:rsidRDefault="00847D96" w:rsidP="00847D96">
            <w:pPr>
              <w:jc w:val="both"/>
              <w:rPr>
                <w:rFonts w:cs="Times New Roman"/>
                <w:szCs w:val="24"/>
              </w:rPr>
            </w:pPr>
            <w:r w:rsidRPr="00DD6288">
              <w:rPr>
                <w:rFonts w:cs="Times New Roman"/>
                <w:szCs w:val="24"/>
              </w:rPr>
              <w:lastRenderedPageBreak/>
              <w:t xml:space="preserve">Sankcijų už teisės aktų nuostatų pažeidimus įgyvendinant Lietuvos žuvininkystės sektoriaus 2014–2020 metų veiksmų programos priemones </w:t>
            </w:r>
            <w:r w:rsidRPr="00DD6288">
              <w:rPr>
                <w:rFonts w:cs="Times New Roman"/>
                <w:szCs w:val="24"/>
              </w:rPr>
              <w:lastRenderedPageBreak/>
              <w:t>taikymo metodika (2015-08-13, Nr. 3D-639)</w:t>
            </w:r>
          </w:p>
        </w:tc>
      </w:tr>
      <w:tr w:rsidR="00847D96" w:rsidRPr="00337AE5" w:rsidTr="00E15C3B">
        <w:tc>
          <w:tcPr>
            <w:tcW w:w="8075" w:type="dxa"/>
          </w:tcPr>
          <w:p w:rsidR="00847D96" w:rsidRPr="00DD6288" w:rsidRDefault="00847D96" w:rsidP="00847D96">
            <w:pPr>
              <w:tabs>
                <w:tab w:val="left" w:pos="601"/>
              </w:tabs>
              <w:ind w:right="-57"/>
              <w:jc w:val="both"/>
              <w:rPr>
                <w:rFonts w:cs="Times New Roman"/>
                <w:szCs w:val="24"/>
                <w:shd w:val="clear" w:color="auto" w:fill="FFFFFF"/>
              </w:rPr>
            </w:pPr>
            <w:r w:rsidRPr="00DD6288">
              <w:rPr>
                <w:szCs w:val="24"/>
              </w:rPr>
              <w:lastRenderedPageBreak/>
              <w:t>Iki projekto įgyvendinimo pabaigos pasiekti ir iki projekto kontrolės pabaigos išlaikyti paraiškoje prognozuotus projekto priežiūros rodiklius.</w:t>
            </w:r>
          </w:p>
        </w:tc>
        <w:tc>
          <w:tcPr>
            <w:tcW w:w="3827" w:type="dxa"/>
          </w:tcPr>
          <w:p w:rsidR="00847D96" w:rsidRPr="00DD6288" w:rsidRDefault="00847D96" w:rsidP="00847D96">
            <w:pPr>
              <w:pStyle w:val="Text3"/>
              <w:tabs>
                <w:tab w:val="clear" w:pos="2302"/>
                <w:tab w:val="left" w:pos="34"/>
              </w:tabs>
              <w:snapToGrid w:val="0"/>
              <w:spacing w:after="0"/>
              <w:ind w:left="0"/>
              <w:jc w:val="left"/>
              <w:rPr>
                <w:szCs w:val="24"/>
                <w:lang w:val="lt-LT"/>
              </w:rPr>
            </w:pPr>
            <w:r w:rsidRPr="00DD6288">
              <w:rPr>
                <w:szCs w:val="24"/>
                <w:lang w:val="lt-LT"/>
              </w:rPr>
              <w:t>Paramos susigrąžinimas 0,5–100 proc. nuo išmokėtos paramos sumos, bet ne mažiau nei 100,01 Eur.</w:t>
            </w:r>
          </w:p>
          <w:p w:rsidR="00847D96" w:rsidRPr="00DD6288" w:rsidRDefault="00847D96" w:rsidP="00847D96">
            <w:pPr>
              <w:pStyle w:val="Text3"/>
              <w:snapToGrid w:val="0"/>
              <w:spacing w:after="0"/>
              <w:ind w:left="0"/>
              <w:jc w:val="left"/>
              <w:rPr>
                <w:szCs w:val="24"/>
                <w:lang w:val="lt-LT"/>
              </w:rPr>
            </w:pPr>
          </w:p>
        </w:tc>
        <w:tc>
          <w:tcPr>
            <w:tcW w:w="2694" w:type="dxa"/>
          </w:tcPr>
          <w:p w:rsidR="00847D96" w:rsidRPr="00DD6288" w:rsidRDefault="00847D96" w:rsidP="00847D96">
            <w:pPr>
              <w:jc w:val="both"/>
              <w:rPr>
                <w:rFonts w:cs="Times New Roman"/>
                <w:szCs w:val="24"/>
              </w:rPr>
            </w:pPr>
            <w:r w:rsidRPr="00DD6288">
              <w:rPr>
                <w:rFonts w:cs="Times New Roman"/>
                <w:szCs w:val="24"/>
              </w:rPr>
              <w:t>Sankcijų už teisės aktų nuostatų pažeidimus įgyvendinant Lietuvos žuvininkystės sektoriaus 2014–2020 metų veiksmų programos priemones taikymo metodika (2015-08-13, Nr. 3D-639)</w:t>
            </w:r>
          </w:p>
        </w:tc>
      </w:tr>
      <w:tr w:rsidR="00847D96" w:rsidRPr="00337AE5" w:rsidTr="00E15C3B">
        <w:tc>
          <w:tcPr>
            <w:tcW w:w="8075" w:type="dxa"/>
          </w:tcPr>
          <w:p w:rsidR="00847D96" w:rsidRPr="00DD6288" w:rsidRDefault="00847D96">
            <w:pPr>
              <w:tabs>
                <w:tab w:val="left" w:pos="601"/>
              </w:tabs>
              <w:ind w:right="-57"/>
              <w:jc w:val="both"/>
              <w:rPr>
                <w:rFonts w:cs="Times New Roman"/>
                <w:szCs w:val="24"/>
                <w:shd w:val="clear" w:color="auto" w:fill="FFFFFF"/>
              </w:rPr>
            </w:pPr>
            <w:r w:rsidRPr="00DD6288">
              <w:rPr>
                <w:rFonts w:cs="Times New Roman"/>
                <w:szCs w:val="24"/>
              </w:rPr>
              <w:t xml:space="preserve">Užtikrinti, kad </w:t>
            </w:r>
            <w:r w:rsidR="00767038" w:rsidRPr="00DD6288">
              <w:rPr>
                <w:rFonts w:cs="Times New Roman"/>
                <w:szCs w:val="24"/>
                <w:shd w:val="clear" w:color="auto" w:fill="FFFFFF"/>
              </w:rPr>
              <w:t xml:space="preserve">įgyvendinus projektą </w:t>
            </w:r>
            <w:r w:rsidRPr="00DD6288">
              <w:rPr>
                <w:rFonts w:cs="Times New Roman"/>
                <w:szCs w:val="24"/>
                <w:shd w:val="clear" w:color="auto" w:fill="FFFFFF"/>
              </w:rPr>
              <w:t>bus sukurtos planuojamos naujos nuolatinės darbo vietos (</w:t>
            </w:r>
            <w:r w:rsidR="00DA6C61">
              <w:rPr>
                <w:rFonts w:cs="Times New Roman"/>
                <w:iCs/>
                <w:szCs w:val="24"/>
                <w:shd w:val="clear" w:color="auto" w:fill="FFFFFF"/>
              </w:rPr>
              <w:t>į</w:t>
            </w:r>
            <w:r w:rsidRPr="00DD6288">
              <w:rPr>
                <w:rFonts w:cs="Times New Roman"/>
                <w:iCs/>
                <w:szCs w:val="24"/>
                <w:shd w:val="clear" w:color="auto" w:fill="FFFFFF"/>
              </w:rPr>
              <w:t>vertinama lyginant ataskaitinių metų rodiklį su projekto įgyvendinimo pabaigos metų rodikliu vadovaujantis Žemės ūkio ir maisto produktų rinkos informacinės sistemos</w:t>
            </w:r>
            <w:r w:rsidRPr="00DD6288">
              <w:rPr>
                <w:rStyle w:val="apple-converted-space"/>
                <w:rFonts w:cs="Times New Roman"/>
                <w:iCs/>
                <w:szCs w:val="24"/>
                <w:shd w:val="clear" w:color="auto" w:fill="FFFFFF"/>
              </w:rPr>
              <w:t> </w:t>
            </w:r>
            <w:r w:rsidRPr="00DD6288">
              <w:rPr>
                <w:rFonts w:cs="Times New Roman"/>
                <w:szCs w:val="24"/>
                <w:shd w:val="clear" w:color="auto" w:fill="FFFFFF"/>
              </w:rPr>
              <w:t>(</w:t>
            </w:r>
            <w:r w:rsidRPr="00DD6288">
              <w:rPr>
                <w:rFonts w:cs="Times New Roman"/>
                <w:iCs/>
                <w:szCs w:val="24"/>
                <w:shd w:val="clear" w:color="auto" w:fill="FFFFFF"/>
              </w:rPr>
              <w:t>ŽŪMPRIS) duomenimis. Atitikties kriterijui rodiklis turi būti pasiektas baigus įgyvendinti projektą ir išlaikytas visą projekto kontrolės laikotarpį</w:t>
            </w:r>
            <w:r w:rsidR="00DA6C61">
              <w:rPr>
                <w:rFonts w:cs="Times New Roman"/>
                <w:iCs/>
                <w:szCs w:val="24"/>
                <w:shd w:val="clear" w:color="auto" w:fill="FFFFFF"/>
              </w:rPr>
              <w:t>;</w:t>
            </w:r>
            <w:r w:rsidR="00DA6C61">
              <w:rPr>
                <w:rFonts w:cs="Times New Roman"/>
                <w:szCs w:val="24"/>
              </w:rPr>
              <w:t xml:space="preserve"> </w:t>
            </w:r>
            <w:r w:rsidRPr="00DD6288">
              <w:rPr>
                <w:rFonts w:cs="Times New Roman"/>
                <w:szCs w:val="24"/>
              </w:rPr>
              <w:t>taikoma, jei buvo skirti balai už šį kriterijų)</w:t>
            </w:r>
            <w:r w:rsidRPr="00DD6288">
              <w:rPr>
                <w:rFonts w:cs="Times New Roman"/>
                <w:szCs w:val="24"/>
                <w:shd w:val="clear" w:color="auto" w:fill="FFFFFF"/>
              </w:rPr>
              <w:t>.</w:t>
            </w:r>
          </w:p>
        </w:tc>
        <w:tc>
          <w:tcPr>
            <w:tcW w:w="3827" w:type="dxa"/>
          </w:tcPr>
          <w:p w:rsidR="00847D96" w:rsidRPr="00DD6288" w:rsidRDefault="00847D96" w:rsidP="00847D96">
            <w:pPr>
              <w:pStyle w:val="Text3"/>
              <w:snapToGrid w:val="0"/>
              <w:spacing w:after="0"/>
              <w:ind w:left="0"/>
              <w:jc w:val="left"/>
              <w:rPr>
                <w:szCs w:val="24"/>
                <w:lang w:val="lt-LT"/>
              </w:rPr>
            </w:pPr>
            <w:r w:rsidRPr="00DD6288">
              <w:rPr>
                <w:szCs w:val="24"/>
                <w:lang w:val="lt-LT"/>
              </w:rPr>
              <w:t>Paramos sumažinimas / susigrąžinimas 0,5–100 proc. nuo išmokėtos paramos sumos, bet ne mažiau nei 100,01 Eur.</w:t>
            </w:r>
          </w:p>
          <w:p w:rsidR="00847D96" w:rsidRPr="00DD6288" w:rsidRDefault="00847D96" w:rsidP="00847D96">
            <w:pPr>
              <w:pStyle w:val="Text3"/>
              <w:snapToGrid w:val="0"/>
              <w:spacing w:after="0"/>
              <w:ind w:left="0"/>
              <w:jc w:val="left"/>
              <w:rPr>
                <w:szCs w:val="24"/>
                <w:lang w:val="lt-LT"/>
              </w:rPr>
            </w:pPr>
          </w:p>
        </w:tc>
        <w:tc>
          <w:tcPr>
            <w:tcW w:w="2694" w:type="dxa"/>
          </w:tcPr>
          <w:p w:rsidR="00847D96" w:rsidRPr="00DD6288" w:rsidRDefault="00847D96" w:rsidP="00847D96">
            <w:pPr>
              <w:jc w:val="both"/>
              <w:rPr>
                <w:rFonts w:cs="Times New Roman"/>
                <w:szCs w:val="24"/>
              </w:rPr>
            </w:pPr>
            <w:r w:rsidRPr="00DD6288">
              <w:rPr>
                <w:rFonts w:cs="Times New Roman"/>
                <w:szCs w:val="24"/>
              </w:rPr>
              <w:t>Sankcijų už teisės aktų nuostatų pažeidimus įgyvendinant Lietuvos žuvininkystės sektoriaus 2014–2020 metų veiksmų programos priemones taikymo metodika (2015-08-13, Nr. 3D-639)</w:t>
            </w:r>
          </w:p>
        </w:tc>
      </w:tr>
      <w:tr w:rsidR="00847D96" w:rsidRPr="00337AE5" w:rsidTr="00E15C3B">
        <w:tc>
          <w:tcPr>
            <w:tcW w:w="8075" w:type="dxa"/>
          </w:tcPr>
          <w:p w:rsidR="00847D96" w:rsidRPr="00DD6288" w:rsidRDefault="00847D96" w:rsidP="00847D96">
            <w:pPr>
              <w:tabs>
                <w:tab w:val="left" w:pos="601"/>
              </w:tabs>
              <w:ind w:right="-57"/>
              <w:jc w:val="both"/>
              <w:rPr>
                <w:rFonts w:cs="Times New Roman"/>
                <w:szCs w:val="24"/>
                <w:shd w:val="clear" w:color="auto" w:fill="FFFFFF"/>
              </w:rPr>
            </w:pPr>
            <w:r w:rsidRPr="00DD6288">
              <w:rPr>
                <w:szCs w:val="24"/>
              </w:rPr>
              <w:t xml:space="preserve">Laiku ir tinkamai pateikti Agentūrai visas reikiamas projekto įgyvendinimo ataskaitas. </w:t>
            </w:r>
          </w:p>
        </w:tc>
        <w:tc>
          <w:tcPr>
            <w:tcW w:w="3827" w:type="dxa"/>
          </w:tcPr>
          <w:p w:rsidR="00847D96" w:rsidRPr="00DD6288" w:rsidRDefault="00847D96" w:rsidP="00847D96">
            <w:pPr>
              <w:pStyle w:val="Text3"/>
              <w:snapToGrid w:val="0"/>
              <w:spacing w:after="0"/>
              <w:ind w:left="0"/>
              <w:jc w:val="left"/>
              <w:rPr>
                <w:szCs w:val="24"/>
                <w:lang w:val="lt-LT"/>
              </w:rPr>
            </w:pPr>
            <w:r w:rsidRPr="00DD6288">
              <w:rPr>
                <w:szCs w:val="24"/>
              </w:rPr>
              <w:t xml:space="preserve">Paramos sumažinimas </w:t>
            </w:r>
            <w:r w:rsidRPr="00DD6288">
              <w:rPr>
                <w:bCs/>
                <w:szCs w:val="24"/>
              </w:rPr>
              <w:t>ir (arba)</w:t>
            </w:r>
            <w:r w:rsidRPr="00DD6288">
              <w:rPr>
                <w:szCs w:val="24"/>
              </w:rPr>
              <w:t xml:space="preserve"> susigrąžinimas (projekto ar kontrolės laikotarpiu) 0,5–100 proc. nuo išmokėtos paramos sumos, bet ne mažiau nei 100,01 Eur.</w:t>
            </w:r>
          </w:p>
        </w:tc>
        <w:tc>
          <w:tcPr>
            <w:tcW w:w="2694" w:type="dxa"/>
          </w:tcPr>
          <w:p w:rsidR="00847D96" w:rsidRPr="00DD6288" w:rsidRDefault="00847D96" w:rsidP="00847D96">
            <w:pPr>
              <w:jc w:val="both"/>
              <w:rPr>
                <w:rFonts w:cs="Times New Roman"/>
                <w:szCs w:val="24"/>
              </w:rPr>
            </w:pPr>
            <w:r w:rsidRPr="00DD6288">
              <w:rPr>
                <w:rFonts w:cs="Times New Roman"/>
                <w:szCs w:val="24"/>
              </w:rPr>
              <w:t>Sankcijų už teisės aktų nuostatų pažeidimus įgyvendinant Lietuvos žuvininkystės sektoriaus 2014–2020 metų veiksmų programos priemones taikymo metodika (2015-08-13, Nr. 3D-639)</w:t>
            </w:r>
          </w:p>
        </w:tc>
      </w:tr>
      <w:tr w:rsidR="00847D96" w:rsidRPr="00337AE5" w:rsidTr="00E15C3B">
        <w:tc>
          <w:tcPr>
            <w:tcW w:w="8075" w:type="dxa"/>
          </w:tcPr>
          <w:p w:rsidR="00847D96" w:rsidRPr="00DD6288" w:rsidRDefault="00847D96" w:rsidP="00847D96">
            <w:pPr>
              <w:tabs>
                <w:tab w:val="left" w:pos="601"/>
              </w:tabs>
              <w:ind w:right="-57"/>
              <w:jc w:val="both"/>
              <w:rPr>
                <w:rFonts w:cs="Times New Roman"/>
                <w:szCs w:val="24"/>
                <w:shd w:val="clear" w:color="auto" w:fill="FFFFFF"/>
              </w:rPr>
            </w:pPr>
            <w:r w:rsidRPr="00DD6288">
              <w:rPr>
                <w:rFonts w:eastAsia="Times New Roman" w:cs="Times New Roman"/>
                <w:szCs w:val="24"/>
              </w:rPr>
              <w:t>Įvykdyti paramos sutartyje numatytus papildomus įsipareigojimus (</w:t>
            </w:r>
            <w:r w:rsidRPr="00DD6288">
              <w:rPr>
                <w:rFonts w:cs="Times New Roman"/>
                <w:szCs w:val="24"/>
              </w:rPr>
              <w:t>taikoma, jei papildomi įsipareigojimai buvo įtraukti į sutartį)</w:t>
            </w:r>
            <w:r w:rsidR="00686E49">
              <w:rPr>
                <w:rFonts w:cs="Times New Roman"/>
                <w:szCs w:val="24"/>
              </w:rPr>
              <w:t>.</w:t>
            </w:r>
          </w:p>
        </w:tc>
        <w:tc>
          <w:tcPr>
            <w:tcW w:w="3827" w:type="dxa"/>
          </w:tcPr>
          <w:p w:rsidR="00847D96" w:rsidRPr="00DD6288" w:rsidRDefault="00847D96" w:rsidP="00847D96">
            <w:pPr>
              <w:pStyle w:val="Text3"/>
              <w:snapToGrid w:val="0"/>
              <w:spacing w:after="0"/>
              <w:ind w:left="0"/>
              <w:jc w:val="left"/>
              <w:rPr>
                <w:szCs w:val="24"/>
                <w:lang w:val="lt-LT"/>
              </w:rPr>
            </w:pPr>
            <w:r w:rsidRPr="00DD6288">
              <w:rPr>
                <w:szCs w:val="24"/>
              </w:rPr>
              <w:t>Sankcijos dydis priklauso nuo nustatyto pažeidimo pobūdžio, masto bei sunkumo.</w:t>
            </w:r>
          </w:p>
        </w:tc>
        <w:tc>
          <w:tcPr>
            <w:tcW w:w="2694" w:type="dxa"/>
          </w:tcPr>
          <w:p w:rsidR="00847D96" w:rsidRPr="00DD6288" w:rsidRDefault="00847D96" w:rsidP="00847D96">
            <w:pPr>
              <w:jc w:val="both"/>
              <w:rPr>
                <w:rFonts w:cs="Times New Roman"/>
                <w:szCs w:val="24"/>
              </w:rPr>
            </w:pPr>
            <w:r w:rsidRPr="00DD6288">
              <w:rPr>
                <w:rFonts w:cs="Times New Roman"/>
                <w:szCs w:val="24"/>
              </w:rPr>
              <w:t xml:space="preserve">Sankcijų už teisės aktų nuostatų pažeidimus įgyvendinant Lietuvos žuvininkystės sektoriaus 2014–2020 metų veiksmų programos priemones </w:t>
            </w:r>
            <w:r w:rsidRPr="00DD6288">
              <w:rPr>
                <w:rFonts w:cs="Times New Roman"/>
                <w:szCs w:val="24"/>
              </w:rPr>
              <w:lastRenderedPageBreak/>
              <w:t>taikymo metodika (2015-08-13, Nr. 3D-639)</w:t>
            </w:r>
          </w:p>
        </w:tc>
      </w:tr>
    </w:tbl>
    <w:p w:rsidR="0091524D" w:rsidRDefault="0091524D" w:rsidP="00753B6A">
      <w:pPr>
        <w:spacing w:after="0" w:line="240" w:lineRule="auto"/>
        <w:rPr>
          <w:rFonts w:cs="Times New Roman"/>
          <w:color w:val="000000" w:themeColor="text1"/>
          <w:szCs w:val="24"/>
        </w:rPr>
      </w:pPr>
    </w:p>
    <w:p w:rsidR="0091524D" w:rsidRPr="00D911B9" w:rsidRDefault="00903D0A" w:rsidP="00DD0FCF">
      <w:pPr>
        <w:tabs>
          <w:tab w:val="left" w:pos="1134"/>
        </w:tabs>
        <w:ind w:firstLine="840"/>
        <w:jc w:val="both"/>
        <w:rPr>
          <w:rFonts w:cs="Times New Roman"/>
          <w:i/>
          <w:szCs w:val="24"/>
        </w:rPr>
      </w:pPr>
      <w:r w:rsidRPr="00D911B9">
        <w:rPr>
          <w:b/>
          <w:i/>
        </w:rPr>
        <w:t xml:space="preserve">Atkreipiame Jūsų dėmesį, kad aukščiau yra išvardyti patys svarbiausi, bet ne visi Jums keliami reikalavimai ir įsipareigojimai, kurie yra nurodyti </w:t>
      </w:r>
      <w:r w:rsidR="004B1D2E" w:rsidRPr="00D911B9">
        <w:rPr>
          <w:b/>
          <w:i/>
        </w:rPr>
        <w:t xml:space="preserve">Lietuvos žuvininkystės sektoriaus 2014–2020 metų veiksmų programos </w:t>
      </w:r>
      <w:r w:rsidR="009F390F" w:rsidRPr="00D911B9">
        <w:rPr>
          <w:b/>
          <w:i/>
        </w:rPr>
        <w:t>pirmojo</w:t>
      </w:r>
      <w:r w:rsidR="004B1D2E" w:rsidRPr="00D911B9">
        <w:rPr>
          <w:b/>
          <w:i/>
        </w:rPr>
        <w:t xml:space="preserve"> Sąjungos prioriteto „</w:t>
      </w:r>
      <w:r w:rsidR="009F390F" w:rsidRPr="00D911B9">
        <w:rPr>
          <w:rFonts w:cs="Times New Roman"/>
          <w:b/>
          <w:bCs/>
          <w:i/>
          <w:szCs w:val="24"/>
          <w:shd w:val="clear" w:color="auto" w:fill="FFFFFF"/>
        </w:rPr>
        <w:t>Aplinkosaugos požiūriu tvarios, efektyviai išteklius naudojančios, inovacinės, konkurencingos ir žiniomis grindžiamos žvejybos skatinimas</w:t>
      </w:r>
      <w:r w:rsidR="004B1D2E" w:rsidRPr="00D911B9">
        <w:rPr>
          <w:b/>
          <w:i/>
        </w:rPr>
        <w:t>“</w:t>
      </w:r>
      <w:r w:rsidR="004B1D2E" w:rsidRPr="00D911B9">
        <w:rPr>
          <w:rStyle w:val="apple-converted-space"/>
          <w:b/>
          <w:i/>
        </w:rPr>
        <w:t> </w:t>
      </w:r>
      <w:r w:rsidR="004B1D2E" w:rsidRPr="00D911B9">
        <w:rPr>
          <w:b/>
          <w:i/>
          <w:lang w:val="en-GB"/>
        </w:rPr>
        <w:t>priemonės</w:t>
      </w:r>
      <w:r w:rsidR="004B1D2E" w:rsidRPr="00D911B9">
        <w:rPr>
          <w:rStyle w:val="apple-converted-space"/>
          <w:b/>
          <w:bCs/>
          <w:i/>
          <w:lang w:val="en-GB"/>
        </w:rPr>
        <w:t> </w:t>
      </w:r>
      <w:r w:rsidR="004B1D2E" w:rsidRPr="00D911B9">
        <w:rPr>
          <w:b/>
          <w:i/>
          <w:lang w:val="en-GB"/>
        </w:rPr>
        <w:t>„</w:t>
      </w:r>
      <w:r w:rsidR="009F390F" w:rsidRPr="00D911B9">
        <w:rPr>
          <w:rFonts w:cs="Times New Roman"/>
          <w:b/>
          <w:bCs/>
          <w:i/>
          <w:szCs w:val="24"/>
          <w:shd w:val="clear" w:color="auto" w:fill="FFFFFF"/>
        </w:rPr>
        <w:t>Pridėtinė vertė, produktų kokybė ir nepageidaujamos priegaudos naudojimas</w:t>
      </w:r>
      <w:r w:rsidR="004B1D2E" w:rsidRPr="00D911B9">
        <w:rPr>
          <w:b/>
          <w:i/>
          <w:lang w:val="en-GB"/>
        </w:rPr>
        <w:t>“</w:t>
      </w:r>
      <w:r w:rsidR="004B1D2E" w:rsidRPr="00D911B9">
        <w:rPr>
          <w:rFonts w:cs="Times New Roman"/>
          <w:b/>
          <w:i/>
          <w:szCs w:val="24"/>
        </w:rPr>
        <w:t xml:space="preserve"> įgyvendinimo taisyklėse, patvirtintose Lietuvos Respublikos žemės ūkio ministro </w:t>
      </w:r>
      <w:r w:rsidR="004B1D2E" w:rsidRPr="00D911B9">
        <w:rPr>
          <w:b/>
          <w:i/>
        </w:rPr>
        <w:t>201</w:t>
      </w:r>
      <w:r w:rsidR="0025247B">
        <w:rPr>
          <w:b/>
          <w:i/>
        </w:rPr>
        <w:t>7</w:t>
      </w:r>
      <w:r w:rsidR="004B1D2E" w:rsidRPr="00D911B9">
        <w:rPr>
          <w:b/>
          <w:i/>
        </w:rPr>
        <w:t xml:space="preserve"> m. l</w:t>
      </w:r>
      <w:r w:rsidR="0025247B">
        <w:rPr>
          <w:b/>
          <w:i/>
        </w:rPr>
        <w:t>iepos 10</w:t>
      </w:r>
      <w:r w:rsidR="004B1D2E" w:rsidRPr="00D911B9">
        <w:rPr>
          <w:b/>
          <w:i/>
        </w:rPr>
        <w:t xml:space="preserve"> d. įsakymu Nr. 3D-</w:t>
      </w:r>
      <w:r w:rsidR="0025247B">
        <w:rPr>
          <w:b/>
          <w:i/>
        </w:rPr>
        <w:t>453</w:t>
      </w:r>
      <w:bookmarkStart w:id="2" w:name="_GoBack"/>
      <w:bookmarkEnd w:id="2"/>
      <w:r w:rsidR="004B1D2E" w:rsidRPr="00D911B9">
        <w:rPr>
          <w:b/>
          <w:i/>
          <w:color w:val="00B050"/>
        </w:rPr>
        <w:t xml:space="preserve"> </w:t>
      </w:r>
      <w:r w:rsidR="00D911B9" w:rsidRPr="00D911B9">
        <w:rPr>
          <w:b/>
          <w:i/>
        </w:rPr>
        <w:t>„Dėl Lietuvos žuvininkystės sektoriaus 2014–2020 metų veiksmų programos pirmojo Sąjungos prioriteto „</w:t>
      </w:r>
      <w:r w:rsidR="00D911B9" w:rsidRPr="00D911B9">
        <w:rPr>
          <w:rFonts w:cs="Times New Roman"/>
          <w:b/>
          <w:bCs/>
          <w:i/>
          <w:szCs w:val="24"/>
          <w:shd w:val="clear" w:color="auto" w:fill="FFFFFF"/>
        </w:rPr>
        <w:t>Aplinkosaugos požiūriu tvarios, efektyviai išteklius naudojančios, inovacinės, konkurencingos ir žiniomis grindžiamos žvejybos skatinimas“</w:t>
      </w:r>
      <w:r w:rsidR="00D911B9" w:rsidRPr="00D911B9">
        <w:rPr>
          <w:b/>
          <w:i/>
        </w:rPr>
        <w:t xml:space="preserve"> priemonės</w:t>
      </w:r>
      <w:r w:rsidR="00D911B9" w:rsidRPr="00D911B9">
        <w:rPr>
          <w:rStyle w:val="apple-converted-space"/>
          <w:b/>
          <w:bCs/>
          <w:i/>
        </w:rPr>
        <w:t> </w:t>
      </w:r>
      <w:r w:rsidR="00D911B9" w:rsidRPr="00D911B9">
        <w:rPr>
          <w:b/>
          <w:i/>
        </w:rPr>
        <w:t>„</w:t>
      </w:r>
      <w:r w:rsidR="0036154A">
        <w:rPr>
          <w:rFonts w:cs="Times New Roman"/>
          <w:b/>
          <w:bCs/>
          <w:i/>
          <w:szCs w:val="24"/>
          <w:shd w:val="clear" w:color="auto" w:fill="FFFFFF"/>
        </w:rPr>
        <w:t>P</w:t>
      </w:r>
      <w:r w:rsidR="00D911B9" w:rsidRPr="00D911B9">
        <w:rPr>
          <w:rFonts w:cs="Times New Roman"/>
          <w:b/>
          <w:bCs/>
          <w:i/>
          <w:szCs w:val="24"/>
          <w:shd w:val="clear" w:color="auto" w:fill="FFFFFF"/>
        </w:rPr>
        <w:t>ridėtinė vertė, produktų kokybė ir nepageidaujamos priegaudos naudojimas</w:t>
      </w:r>
      <w:r w:rsidR="00D911B9" w:rsidRPr="00D911B9">
        <w:rPr>
          <w:b/>
          <w:i/>
        </w:rPr>
        <w:t xml:space="preserve"> “</w:t>
      </w:r>
      <w:r w:rsidR="00D911B9" w:rsidRPr="00D911B9">
        <w:rPr>
          <w:rStyle w:val="apple-converted-space"/>
          <w:b/>
          <w:i/>
        </w:rPr>
        <w:t> </w:t>
      </w:r>
      <w:r w:rsidR="00D911B9" w:rsidRPr="00D911B9">
        <w:rPr>
          <w:b/>
          <w:i/>
        </w:rPr>
        <w:t>įgyvendinimo taisyklių patvirtinimo“</w:t>
      </w:r>
      <w:r w:rsidR="00816DC0" w:rsidRPr="00D911B9">
        <w:rPr>
          <w:b/>
          <w:i/>
        </w:rPr>
        <w:t>.</w:t>
      </w:r>
    </w:p>
    <w:sectPr w:rsidR="0091524D" w:rsidRPr="00D911B9" w:rsidSect="00472F3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B39" w:rsidRDefault="00001B39" w:rsidP="0091524D">
      <w:pPr>
        <w:spacing w:after="0" w:line="240" w:lineRule="auto"/>
      </w:pPr>
      <w:r>
        <w:separator/>
      </w:r>
    </w:p>
  </w:endnote>
  <w:endnote w:type="continuationSeparator" w:id="0">
    <w:p w:rsidR="00001B39" w:rsidRDefault="00001B39"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B39" w:rsidRDefault="00001B39" w:rsidP="0091524D">
      <w:pPr>
        <w:spacing w:after="0" w:line="240" w:lineRule="auto"/>
      </w:pPr>
      <w:r>
        <w:separator/>
      </w:r>
    </w:p>
  </w:footnote>
  <w:footnote w:type="continuationSeparator" w:id="0">
    <w:p w:rsidR="00001B39" w:rsidRDefault="00001B39" w:rsidP="0091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01B39"/>
    <w:rsid w:val="0000628A"/>
    <w:rsid w:val="0000666E"/>
    <w:rsid w:val="00007051"/>
    <w:rsid w:val="000071E6"/>
    <w:rsid w:val="00015D91"/>
    <w:rsid w:val="00036B7D"/>
    <w:rsid w:val="0006798A"/>
    <w:rsid w:val="00072CFF"/>
    <w:rsid w:val="00093530"/>
    <w:rsid w:val="000D1EEE"/>
    <w:rsid w:val="00124734"/>
    <w:rsid w:val="00133938"/>
    <w:rsid w:val="00181F56"/>
    <w:rsid w:val="0018609B"/>
    <w:rsid w:val="00194A89"/>
    <w:rsid w:val="001E544C"/>
    <w:rsid w:val="00220B81"/>
    <w:rsid w:val="0025247B"/>
    <w:rsid w:val="00252E21"/>
    <w:rsid w:val="00261DC5"/>
    <w:rsid w:val="00265270"/>
    <w:rsid w:val="00291C6F"/>
    <w:rsid w:val="002B2096"/>
    <w:rsid w:val="002B72C5"/>
    <w:rsid w:val="002F18E0"/>
    <w:rsid w:val="00321B4E"/>
    <w:rsid w:val="00336A1C"/>
    <w:rsid w:val="00337AE5"/>
    <w:rsid w:val="0036154A"/>
    <w:rsid w:val="003A2517"/>
    <w:rsid w:val="003A54AE"/>
    <w:rsid w:val="003D2953"/>
    <w:rsid w:val="003E41E4"/>
    <w:rsid w:val="003F2327"/>
    <w:rsid w:val="00407AF1"/>
    <w:rsid w:val="004571E1"/>
    <w:rsid w:val="00471437"/>
    <w:rsid w:val="00472F3B"/>
    <w:rsid w:val="00494F66"/>
    <w:rsid w:val="004A3089"/>
    <w:rsid w:val="004A741B"/>
    <w:rsid w:val="004B1D2E"/>
    <w:rsid w:val="004D0314"/>
    <w:rsid w:val="004F44DB"/>
    <w:rsid w:val="0053395A"/>
    <w:rsid w:val="005A3E0E"/>
    <w:rsid w:val="005C1471"/>
    <w:rsid w:val="00611C4D"/>
    <w:rsid w:val="00647837"/>
    <w:rsid w:val="006506C5"/>
    <w:rsid w:val="006567BA"/>
    <w:rsid w:val="00675CE5"/>
    <w:rsid w:val="00676D7F"/>
    <w:rsid w:val="00686E49"/>
    <w:rsid w:val="006A7008"/>
    <w:rsid w:val="006B7151"/>
    <w:rsid w:val="006E150E"/>
    <w:rsid w:val="006E4A54"/>
    <w:rsid w:val="006F4C0F"/>
    <w:rsid w:val="00725DA8"/>
    <w:rsid w:val="00753AF4"/>
    <w:rsid w:val="00753B6A"/>
    <w:rsid w:val="00765BCA"/>
    <w:rsid w:val="00767038"/>
    <w:rsid w:val="00770696"/>
    <w:rsid w:val="00796B01"/>
    <w:rsid w:val="00796F48"/>
    <w:rsid w:val="007A48A3"/>
    <w:rsid w:val="0080179E"/>
    <w:rsid w:val="00813434"/>
    <w:rsid w:val="00813F29"/>
    <w:rsid w:val="00816DC0"/>
    <w:rsid w:val="00820038"/>
    <w:rsid w:val="00847D96"/>
    <w:rsid w:val="008774AD"/>
    <w:rsid w:val="00880FD3"/>
    <w:rsid w:val="008B5A88"/>
    <w:rsid w:val="008E740D"/>
    <w:rsid w:val="00903D0A"/>
    <w:rsid w:val="00906735"/>
    <w:rsid w:val="0091524D"/>
    <w:rsid w:val="00924C46"/>
    <w:rsid w:val="00944D6F"/>
    <w:rsid w:val="00974DD6"/>
    <w:rsid w:val="00996DE5"/>
    <w:rsid w:val="009D3A1D"/>
    <w:rsid w:val="009F390F"/>
    <w:rsid w:val="00A117F6"/>
    <w:rsid w:val="00A16BC3"/>
    <w:rsid w:val="00A22955"/>
    <w:rsid w:val="00A31E08"/>
    <w:rsid w:val="00A50458"/>
    <w:rsid w:val="00A72B33"/>
    <w:rsid w:val="00A7777B"/>
    <w:rsid w:val="00A87494"/>
    <w:rsid w:val="00A90978"/>
    <w:rsid w:val="00AD0823"/>
    <w:rsid w:val="00B07D6A"/>
    <w:rsid w:val="00B105C1"/>
    <w:rsid w:val="00B406B4"/>
    <w:rsid w:val="00B4770C"/>
    <w:rsid w:val="00B5346D"/>
    <w:rsid w:val="00B7196F"/>
    <w:rsid w:val="00B73075"/>
    <w:rsid w:val="00BA1594"/>
    <w:rsid w:val="00BC72D0"/>
    <w:rsid w:val="00BD0CA3"/>
    <w:rsid w:val="00BE7F65"/>
    <w:rsid w:val="00C22082"/>
    <w:rsid w:val="00C31774"/>
    <w:rsid w:val="00C4090D"/>
    <w:rsid w:val="00C63861"/>
    <w:rsid w:val="00C657D7"/>
    <w:rsid w:val="00C72AC0"/>
    <w:rsid w:val="00C910FB"/>
    <w:rsid w:val="00CC7496"/>
    <w:rsid w:val="00CF3D0F"/>
    <w:rsid w:val="00D07BF3"/>
    <w:rsid w:val="00D24774"/>
    <w:rsid w:val="00D911B9"/>
    <w:rsid w:val="00D94CB8"/>
    <w:rsid w:val="00D96FA7"/>
    <w:rsid w:val="00DA6C61"/>
    <w:rsid w:val="00DB7300"/>
    <w:rsid w:val="00DD0FCF"/>
    <w:rsid w:val="00DD4ED9"/>
    <w:rsid w:val="00DD6288"/>
    <w:rsid w:val="00DE3B6A"/>
    <w:rsid w:val="00DF719D"/>
    <w:rsid w:val="00E15C3B"/>
    <w:rsid w:val="00E43470"/>
    <w:rsid w:val="00E463A1"/>
    <w:rsid w:val="00E66289"/>
    <w:rsid w:val="00E85B00"/>
    <w:rsid w:val="00EB4746"/>
    <w:rsid w:val="00EB4F53"/>
    <w:rsid w:val="00ED5754"/>
    <w:rsid w:val="00F23C2C"/>
    <w:rsid w:val="00F425EE"/>
    <w:rsid w:val="00F824BA"/>
    <w:rsid w:val="00F978C3"/>
    <w:rsid w:val="00FA40AE"/>
    <w:rsid w:val="00FA5370"/>
    <w:rsid w:val="00FA5702"/>
    <w:rsid w:val="00FD7D93"/>
    <w:rsid w:val="00FE29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2CD4"/>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character" w:customStyle="1" w:styleId="apple-converted-space">
    <w:name w:val="apple-converted-space"/>
    <w:basedOn w:val="DefaultParagraphFont"/>
    <w:rsid w:val="008E740D"/>
  </w:style>
  <w:style w:type="paragraph" w:styleId="BodyText">
    <w:name w:val="Body Text"/>
    <w:basedOn w:val="Normal"/>
    <w:link w:val="BodyTextChar"/>
    <w:rsid w:val="00725DA8"/>
    <w:pPr>
      <w:spacing w:after="0" w:line="360" w:lineRule="auto"/>
      <w:jc w:val="both"/>
    </w:pPr>
    <w:rPr>
      <w:rFonts w:eastAsia="Times New Roman" w:cs="Times New Roman"/>
      <w:szCs w:val="20"/>
    </w:rPr>
  </w:style>
  <w:style w:type="character" w:customStyle="1" w:styleId="BodyTextChar">
    <w:name w:val="Body Text Char"/>
    <w:basedOn w:val="DefaultParagraphFont"/>
    <w:link w:val="BodyText"/>
    <w:rsid w:val="00725DA8"/>
    <w:rPr>
      <w:rFonts w:eastAsia="Times New Roman" w:cs="Times New Roman"/>
      <w:szCs w:val="20"/>
    </w:rPr>
  </w:style>
  <w:style w:type="paragraph" w:customStyle="1" w:styleId="Text3">
    <w:name w:val="Text 3"/>
    <w:basedOn w:val="Normal"/>
    <w:rsid w:val="00A90978"/>
    <w:pPr>
      <w:tabs>
        <w:tab w:val="left" w:pos="2302"/>
      </w:tabs>
      <w:suppressAutoHyphens/>
      <w:spacing w:after="240" w:line="240" w:lineRule="auto"/>
      <w:ind w:left="1202"/>
      <w:jc w:val="both"/>
    </w:pPr>
    <w:rPr>
      <w:rFonts w:eastAsia="Times New Roman" w:cs="Times New Roman"/>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43312576">
      <w:bodyDiv w:val="1"/>
      <w:marLeft w:val="0"/>
      <w:marRight w:val="0"/>
      <w:marTop w:val="0"/>
      <w:marBottom w:val="0"/>
      <w:divBdr>
        <w:top w:val="none" w:sz="0" w:space="0" w:color="auto"/>
        <w:left w:val="none" w:sz="0" w:space="0" w:color="auto"/>
        <w:bottom w:val="none" w:sz="0" w:space="0" w:color="auto"/>
        <w:right w:val="none" w:sz="0" w:space="0" w:color="auto"/>
      </w:divBdr>
    </w:div>
    <w:div w:id="4490587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852232790">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3.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4.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69DF76-F634-43F0-B3AA-AC1DDACA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6769</Words>
  <Characters>3859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Kristina Stašelienė</cp:lastModifiedBy>
  <cp:revision>4</cp:revision>
  <cp:lastPrinted>2016-08-30T13:54:00Z</cp:lastPrinted>
  <dcterms:created xsi:type="dcterms:W3CDTF">2018-03-22T08:27:00Z</dcterms:created>
  <dcterms:modified xsi:type="dcterms:W3CDTF">2018-03-22T09:29:00Z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