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20E9C" w14:textId="7B8E407D" w:rsidR="002C6D1A" w:rsidRDefault="002C6D1A">
      <w:pPr>
        <w:tabs>
          <w:tab w:val="center" w:pos="4680"/>
          <w:tab w:val="right" w:pos="9360"/>
        </w:tabs>
        <w:rPr>
          <w:sz w:val="22"/>
          <w:szCs w:val="22"/>
          <w:lang w:eastAsia="lt-LT"/>
        </w:rPr>
      </w:pPr>
    </w:p>
    <w:p w14:paraId="4DF74559" w14:textId="77777777" w:rsidR="002C6D1A" w:rsidRDefault="00B40D42">
      <w:pPr>
        <w:ind w:firstLine="10206"/>
        <w:textAlignment w:val="center"/>
        <w:rPr>
          <w:color w:val="000000"/>
          <w:szCs w:val="24"/>
          <w:lang w:eastAsia="en-GB"/>
        </w:rPr>
      </w:pPr>
      <w:r>
        <w:rPr>
          <w:color w:val="000000"/>
          <w:szCs w:val="24"/>
          <w:lang w:eastAsia="en-GB"/>
        </w:rPr>
        <w:t>PATVIRTINTA</w:t>
      </w:r>
    </w:p>
    <w:p w14:paraId="222C3689" w14:textId="77777777" w:rsidR="002C6D1A" w:rsidRDefault="00B40D42">
      <w:pPr>
        <w:ind w:firstLine="10206"/>
        <w:textAlignment w:val="center"/>
        <w:rPr>
          <w:color w:val="000000"/>
          <w:szCs w:val="24"/>
          <w:lang w:eastAsia="en-GB"/>
        </w:rPr>
      </w:pPr>
      <w:r>
        <w:rPr>
          <w:color w:val="000000"/>
          <w:szCs w:val="24"/>
          <w:lang w:eastAsia="en-GB"/>
        </w:rPr>
        <w:t>Lietuvos Respublikos žemės ūkio ministro</w:t>
      </w:r>
    </w:p>
    <w:p w14:paraId="60298DA2" w14:textId="78F31671" w:rsidR="00B40D42" w:rsidRPr="00B40D42" w:rsidRDefault="00B40D42" w:rsidP="00B40D42">
      <w:pPr>
        <w:ind w:firstLine="10206"/>
        <w:textAlignment w:val="center"/>
        <w:rPr>
          <w:szCs w:val="24"/>
          <w:lang w:eastAsia="lt-LT"/>
        </w:rPr>
      </w:pPr>
      <w:r>
        <w:rPr>
          <w:color w:val="000000"/>
          <w:szCs w:val="24"/>
          <w:lang w:eastAsia="en-GB"/>
        </w:rPr>
        <w:t>2</w:t>
      </w:r>
      <w:r>
        <w:rPr>
          <w:color w:val="000000"/>
          <w:spacing w:val="-4"/>
          <w:szCs w:val="24"/>
          <w:lang w:eastAsia="en-GB"/>
        </w:rPr>
        <w:t>0</w:t>
      </w:r>
      <w:r>
        <w:rPr>
          <w:color w:val="000000"/>
          <w:spacing w:val="-4"/>
          <w:szCs w:val="24"/>
          <w:lang w:val="fi-FI" w:eastAsia="en-GB"/>
        </w:rPr>
        <w:t>24</w:t>
      </w:r>
      <w:r>
        <w:rPr>
          <w:color w:val="000000"/>
          <w:spacing w:val="-4"/>
          <w:szCs w:val="24"/>
          <w:lang w:eastAsia="en-GB"/>
        </w:rPr>
        <w:t xml:space="preserve"> m. rugsėjo 10 </w:t>
      </w:r>
      <w:r>
        <w:rPr>
          <w:color w:val="000000"/>
          <w:spacing w:val="-4"/>
          <w:szCs w:val="24"/>
          <w:lang w:eastAsia="en-GB"/>
        </w:rPr>
        <w:t>d. įsakymu</w:t>
      </w:r>
      <w:r>
        <w:rPr>
          <w:color w:val="000000"/>
          <w:szCs w:val="24"/>
          <w:lang w:eastAsia="en-GB"/>
        </w:rPr>
        <w:t xml:space="preserve"> </w:t>
      </w:r>
      <w:r>
        <w:rPr>
          <w:color w:val="000000"/>
          <w:spacing w:val="-4"/>
          <w:szCs w:val="24"/>
          <w:lang w:eastAsia="en-GB"/>
        </w:rPr>
        <w:t xml:space="preserve">Nr. </w:t>
      </w:r>
      <w:r w:rsidRPr="00B40D42">
        <w:rPr>
          <w:szCs w:val="24"/>
          <w:lang w:eastAsia="lt-LT"/>
        </w:rPr>
        <w:t>3D-640</w:t>
      </w:r>
    </w:p>
    <w:p w14:paraId="1534D906" w14:textId="345E4B41" w:rsidR="002C6D1A" w:rsidRDefault="002C6D1A">
      <w:pPr>
        <w:ind w:firstLine="10206"/>
        <w:textAlignment w:val="center"/>
        <w:rPr>
          <w:szCs w:val="24"/>
          <w:lang w:eastAsia="lt-LT"/>
        </w:rPr>
      </w:pPr>
    </w:p>
    <w:p w14:paraId="277677F3" w14:textId="77777777" w:rsidR="002C6D1A" w:rsidRDefault="002C6D1A">
      <w:pPr>
        <w:jc w:val="center"/>
        <w:rPr>
          <w:b/>
          <w:bCs/>
          <w:caps/>
          <w:color w:val="000000"/>
          <w:sz w:val="22"/>
          <w:szCs w:val="22"/>
          <w:lang w:eastAsia="lt-LT"/>
        </w:rPr>
      </w:pPr>
    </w:p>
    <w:p w14:paraId="06E464AC" w14:textId="77777777" w:rsidR="002C6D1A" w:rsidRDefault="002C6D1A">
      <w:pPr>
        <w:jc w:val="center"/>
        <w:rPr>
          <w:b/>
          <w:bCs/>
          <w:caps/>
          <w:color w:val="000000"/>
          <w:sz w:val="22"/>
          <w:szCs w:val="22"/>
          <w:lang w:eastAsia="lt-LT"/>
        </w:rPr>
      </w:pPr>
    </w:p>
    <w:p w14:paraId="02F6C13A" w14:textId="77777777" w:rsidR="002C6D1A" w:rsidRDefault="00B40D42">
      <w:pPr>
        <w:jc w:val="center"/>
        <w:rPr>
          <w:b/>
          <w:bCs/>
          <w:caps/>
          <w:color w:val="000000"/>
          <w:sz w:val="22"/>
          <w:szCs w:val="22"/>
          <w:lang w:eastAsia="lt-LT"/>
        </w:rPr>
      </w:pPr>
      <w:r>
        <w:rPr>
          <w:b/>
          <w:bCs/>
          <w:caps/>
          <w:color w:val="000000"/>
          <w:sz w:val="22"/>
          <w:szCs w:val="22"/>
          <w:lang w:eastAsia="lt-LT"/>
        </w:rPr>
        <w:t xml:space="preserve">LIETUVOS ŽUVININKYSTĖS sektoriaus 2021‒2027 METŲ PROGRAMOS </w:t>
      </w:r>
      <w:r>
        <w:rPr>
          <w:b/>
          <w:bCs/>
          <w:color w:val="000000"/>
          <w:sz w:val="22"/>
          <w:szCs w:val="22"/>
          <w:lang w:eastAsia="lt-LT"/>
        </w:rPr>
        <w:t>PIRMOJO PRIORITETO</w:t>
      </w:r>
      <w:r>
        <w:rPr>
          <w:b/>
          <w:bCs/>
          <w:color w:val="000000"/>
          <w:sz w:val="22"/>
          <w:szCs w:val="22"/>
          <w:lang w:eastAsia="lt-LT"/>
        </w:rPr>
        <w:t xml:space="preserve"> „TAUSIOS ŽVEJYBOS SKATINIMAS IR VANDENS BIOLOGINIŲ IŠTEKLIŲ ATKŪRIMAS IR IŠSAUGOJIMAS“ PRIEM</w:t>
      </w:r>
      <w:r>
        <w:rPr>
          <w:b/>
          <w:bCs/>
          <w:caps/>
          <w:color w:val="000000"/>
          <w:sz w:val="22"/>
          <w:szCs w:val="22"/>
          <w:lang w:eastAsia="lt-LT"/>
        </w:rPr>
        <w:t>ONĖS „</w:t>
      </w:r>
      <w:r>
        <w:rPr>
          <w:b/>
          <w:bCs/>
          <w:caps/>
          <w:sz w:val="22"/>
          <w:szCs w:val="22"/>
        </w:rPr>
        <w:t>Paukščius apsaugančių žvejybos valdymo priemonių taikymo ir žinduolių, kurie saugomi, daromos žalos kompensavimo sistemos“</w:t>
      </w:r>
      <w:r>
        <w:rPr>
          <w:b/>
          <w:bCs/>
          <w:sz w:val="22"/>
          <w:szCs w:val="22"/>
        </w:rPr>
        <w:t xml:space="preserve"> </w:t>
      </w:r>
      <w:r>
        <w:rPr>
          <w:b/>
          <w:bCs/>
          <w:color w:val="000000"/>
          <w:sz w:val="22"/>
          <w:szCs w:val="22"/>
          <w:lang w:eastAsia="lt-LT"/>
        </w:rPr>
        <w:t>KOMPENSACIJŲ SKYRIMO</w:t>
      </w:r>
      <w:r>
        <w:rPr>
          <w:b/>
          <w:bCs/>
          <w:caps/>
          <w:color w:val="000000"/>
          <w:sz w:val="22"/>
          <w:szCs w:val="22"/>
          <w:lang w:eastAsia="lt-LT"/>
        </w:rPr>
        <w:t xml:space="preserve"> SĄLYGŲ APRAŠA</w:t>
      </w:r>
      <w:r>
        <w:rPr>
          <w:b/>
          <w:bCs/>
          <w:caps/>
          <w:color w:val="000000"/>
          <w:sz w:val="22"/>
          <w:szCs w:val="22"/>
          <w:lang w:eastAsia="lt-LT"/>
        </w:rPr>
        <w:t>S</w:t>
      </w:r>
    </w:p>
    <w:p w14:paraId="4F5F7E06" w14:textId="77777777" w:rsidR="002C6D1A" w:rsidRDefault="002C6D1A">
      <w:pPr>
        <w:jc w:val="center"/>
        <w:rPr>
          <w:b/>
          <w:bCs/>
          <w:sz w:val="22"/>
          <w:szCs w:val="22"/>
        </w:rPr>
      </w:pPr>
    </w:p>
    <w:p w14:paraId="1D728F9D" w14:textId="77777777" w:rsidR="002C6D1A" w:rsidRDefault="002C6D1A">
      <w:pPr>
        <w:rPr>
          <w:i/>
          <w:sz w:val="22"/>
          <w:szCs w:val="22"/>
        </w:rPr>
      </w:pPr>
    </w:p>
    <w:p w14:paraId="4EFC45F0" w14:textId="77777777" w:rsidR="002C6D1A" w:rsidRDefault="00B40D42">
      <w:pPr>
        <w:spacing w:line="259" w:lineRule="auto"/>
        <w:ind w:left="1080" w:hanging="720"/>
        <w:jc w:val="both"/>
        <w:rPr>
          <w:b/>
          <w:sz w:val="22"/>
          <w:szCs w:val="22"/>
        </w:rPr>
      </w:pPr>
      <w:r>
        <w:rPr>
          <w:b/>
          <w:sz w:val="22"/>
          <w:szCs w:val="22"/>
        </w:rPr>
        <w:t>I</w:t>
      </w:r>
      <w:r>
        <w:rPr>
          <w:b/>
          <w:sz w:val="22"/>
          <w:szCs w:val="22"/>
        </w:rPr>
        <w:t xml:space="preserve">. </w:t>
      </w:r>
      <w:r>
        <w:rPr>
          <w:b/>
          <w:sz w:val="22"/>
          <w:szCs w:val="22"/>
        </w:rPr>
        <w:t>BENDROSIOS NUOSTATOS</w:t>
      </w:r>
    </w:p>
    <w:p w14:paraId="3F13E21A" w14:textId="77777777" w:rsidR="002C6D1A" w:rsidRDefault="002C6D1A">
      <w:pPr>
        <w:rPr>
          <w:sz w:val="22"/>
          <w:szCs w:val="22"/>
        </w:rPr>
      </w:pPr>
    </w:p>
    <w:tbl>
      <w:tblPr>
        <w:tblW w:w="5000" w:type="pct"/>
        <w:tblCellMar>
          <w:left w:w="0" w:type="dxa"/>
          <w:right w:w="0" w:type="dxa"/>
        </w:tblCellMar>
        <w:tblLook w:val="04A0" w:firstRow="1" w:lastRow="0" w:firstColumn="1" w:lastColumn="0" w:noHBand="0" w:noVBand="1"/>
      </w:tblPr>
      <w:tblGrid>
        <w:gridCol w:w="1833"/>
        <w:gridCol w:w="1702"/>
        <w:gridCol w:w="1647"/>
        <w:gridCol w:w="1755"/>
        <w:gridCol w:w="1510"/>
        <w:gridCol w:w="1496"/>
        <w:gridCol w:w="1488"/>
        <w:gridCol w:w="2028"/>
        <w:gridCol w:w="1091"/>
      </w:tblGrid>
      <w:tr w:rsidR="002C6D1A" w14:paraId="7C18C199" w14:textId="77777777">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D5D815" w14:textId="77777777" w:rsidR="002C6D1A" w:rsidRDefault="00B40D42">
            <w:pPr>
              <w:jc w:val="center"/>
              <w:rPr>
                <w:sz w:val="22"/>
                <w:szCs w:val="22"/>
                <w:lang w:eastAsia="lt-LT"/>
              </w:rPr>
            </w:pPr>
            <w:r>
              <w:rPr>
                <w:b/>
                <w:bCs/>
                <w:sz w:val="22"/>
                <w:szCs w:val="22"/>
                <w:lang w:eastAsia="lt-LT"/>
              </w:rPr>
              <w:t>Prioritetas</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CF9943" w14:textId="77777777" w:rsidR="002C6D1A" w:rsidRDefault="00B40D42">
            <w:pPr>
              <w:jc w:val="center"/>
              <w:rPr>
                <w:sz w:val="22"/>
                <w:szCs w:val="22"/>
                <w:lang w:eastAsia="lt-LT"/>
              </w:rPr>
            </w:pPr>
            <w:r>
              <w:rPr>
                <w:b/>
                <w:bCs/>
                <w:sz w:val="22"/>
                <w:szCs w:val="22"/>
                <w:lang w:eastAsia="lt-LT"/>
              </w:rPr>
              <w:t>Konkretus tikslas</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376E17" w14:textId="77777777" w:rsidR="002C6D1A" w:rsidRDefault="00B40D42">
            <w:pPr>
              <w:jc w:val="center"/>
              <w:rPr>
                <w:sz w:val="22"/>
                <w:szCs w:val="22"/>
                <w:lang w:eastAsia="lt-LT"/>
              </w:rPr>
            </w:pPr>
            <w:r>
              <w:rPr>
                <w:b/>
                <w:bCs/>
                <w:sz w:val="22"/>
                <w:szCs w:val="22"/>
                <w:lang w:eastAsia="lt-LT"/>
              </w:rPr>
              <w:t>Sektorius, prie kurio turi būti prisidedama projektu</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873E87" w14:textId="77777777" w:rsidR="002C6D1A" w:rsidRDefault="00B40D42">
            <w:pPr>
              <w:jc w:val="center"/>
              <w:rPr>
                <w:sz w:val="22"/>
                <w:szCs w:val="22"/>
                <w:lang w:eastAsia="lt-LT"/>
              </w:rPr>
            </w:pPr>
            <w:r>
              <w:rPr>
                <w:b/>
                <w:bCs/>
                <w:sz w:val="22"/>
                <w:szCs w:val="22"/>
                <w:lang w:eastAsia="lt-LT"/>
              </w:rPr>
              <w:t>Paramos gavėjų rūšis</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76702C" w14:textId="77777777" w:rsidR="002C6D1A" w:rsidRDefault="00B40D42">
            <w:pPr>
              <w:jc w:val="center"/>
              <w:rPr>
                <w:sz w:val="22"/>
                <w:szCs w:val="22"/>
                <w:lang w:eastAsia="lt-LT"/>
              </w:rPr>
            </w:pPr>
            <w:r>
              <w:rPr>
                <w:b/>
                <w:bCs/>
                <w:sz w:val="22"/>
                <w:szCs w:val="22"/>
                <w:lang w:eastAsia="lt-LT"/>
              </w:rPr>
              <w:t>Projektų susietumas su jūrų ir kitais vandenimis</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BA2B7C" w14:textId="77777777" w:rsidR="002C6D1A" w:rsidRDefault="00B40D42">
            <w:pPr>
              <w:ind w:firstLine="53"/>
              <w:jc w:val="center"/>
              <w:rPr>
                <w:sz w:val="22"/>
                <w:szCs w:val="22"/>
                <w:lang w:eastAsia="lt-LT"/>
              </w:rPr>
            </w:pPr>
            <w:r>
              <w:rPr>
                <w:b/>
                <w:bCs/>
                <w:sz w:val="22"/>
                <w:szCs w:val="22"/>
                <w:lang w:eastAsia="lt-LT"/>
              </w:rPr>
              <w:t>Specialiosios projektų sąsajos</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233CA5" w14:textId="77777777" w:rsidR="002C6D1A" w:rsidRDefault="00B40D42">
            <w:pPr>
              <w:jc w:val="center"/>
              <w:rPr>
                <w:sz w:val="22"/>
                <w:szCs w:val="22"/>
                <w:lang w:eastAsia="lt-LT"/>
              </w:rPr>
            </w:pPr>
            <w:r>
              <w:rPr>
                <w:b/>
                <w:bCs/>
                <w:sz w:val="22"/>
                <w:szCs w:val="22"/>
                <w:lang w:eastAsia="lt-LT"/>
              </w:rPr>
              <w:t>Projektų rūšis</w:t>
            </w:r>
          </w:p>
        </w:tc>
        <w:tc>
          <w:tcPr>
            <w:tcW w:w="6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DA3E82" w14:textId="77777777" w:rsidR="002C6D1A" w:rsidRDefault="00B40D42">
            <w:pPr>
              <w:jc w:val="center"/>
              <w:rPr>
                <w:sz w:val="22"/>
                <w:szCs w:val="22"/>
                <w:lang w:eastAsia="lt-LT"/>
              </w:rPr>
            </w:pPr>
            <w:r>
              <w:rPr>
                <w:b/>
                <w:bCs/>
                <w:sz w:val="22"/>
                <w:szCs w:val="22"/>
                <w:lang w:eastAsia="lt-LT"/>
              </w:rPr>
              <w:t xml:space="preserve">Intervencinių </w:t>
            </w:r>
            <w:r>
              <w:rPr>
                <w:b/>
                <w:bCs/>
                <w:sz w:val="22"/>
                <w:szCs w:val="22"/>
                <w:lang w:eastAsia="lt-LT"/>
              </w:rPr>
              <w:t>priemonių rūšis</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9D06C0" w14:textId="77777777" w:rsidR="002C6D1A" w:rsidRDefault="00B40D42">
            <w:pPr>
              <w:jc w:val="center"/>
              <w:rPr>
                <w:sz w:val="22"/>
                <w:szCs w:val="22"/>
                <w:lang w:eastAsia="lt-LT"/>
              </w:rPr>
            </w:pPr>
            <w:r>
              <w:rPr>
                <w:b/>
                <w:bCs/>
                <w:sz w:val="22"/>
                <w:szCs w:val="22"/>
                <w:lang w:eastAsia="lt-LT"/>
              </w:rPr>
              <w:t>Paramos formos kodas</w:t>
            </w:r>
          </w:p>
        </w:tc>
      </w:tr>
      <w:tr w:rsidR="002C6D1A" w14:paraId="77699DD7" w14:textId="77777777">
        <w:tc>
          <w:tcPr>
            <w:tcW w:w="63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CC80038" w14:textId="77777777" w:rsidR="002C6D1A" w:rsidRDefault="00B40D42">
            <w:pPr>
              <w:jc w:val="center"/>
              <w:rPr>
                <w:sz w:val="22"/>
                <w:szCs w:val="22"/>
                <w:lang w:eastAsia="lt-LT"/>
              </w:rPr>
            </w:pPr>
            <w:r>
              <w:rPr>
                <w:b/>
                <w:bCs/>
                <w:sz w:val="22"/>
                <w:szCs w:val="22"/>
                <w:lang w:eastAsia="lt-LT"/>
              </w:rPr>
              <w:t>1</w:t>
            </w: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FBD4513" w14:textId="77777777" w:rsidR="002C6D1A" w:rsidRDefault="00B40D42">
            <w:pPr>
              <w:jc w:val="center"/>
              <w:rPr>
                <w:sz w:val="22"/>
                <w:szCs w:val="22"/>
                <w:lang w:eastAsia="lt-LT"/>
              </w:rPr>
            </w:pPr>
            <w:r>
              <w:rPr>
                <w:b/>
                <w:bCs/>
                <w:sz w:val="22"/>
                <w:szCs w:val="22"/>
                <w:lang w:eastAsia="lt-LT"/>
              </w:rPr>
              <w:t>2</w:t>
            </w:r>
          </w:p>
        </w:tc>
        <w:tc>
          <w:tcPr>
            <w:tcW w:w="5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B0FD6DA" w14:textId="77777777" w:rsidR="002C6D1A" w:rsidRDefault="00B40D42">
            <w:pPr>
              <w:jc w:val="center"/>
              <w:rPr>
                <w:sz w:val="22"/>
                <w:szCs w:val="22"/>
                <w:lang w:eastAsia="lt-LT"/>
              </w:rPr>
            </w:pPr>
            <w:r>
              <w:rPr>
                <w:b/>
                <w:bCs/>
                <w:sz w:val="22"/>
                <w:szCs w:val="22"/>
                <w:lang w:eastAsia="lt-LT"/>
              </w:rPr>
              <w:t>3</w:t>
            </w:r>
          </w:p>
        </w:tc>
        <w:tc>
          <w:tcPr>
            <w:tcW w:w="603" w:type="pct"/>
            <w:tcBorders>
              <w:top w:val="nil"/>
              <w:left w:val="nil"/>
              <w:bottom w:val="single" w:sz="4" w:space="0" w:color="auto"/>
              <w:right w:val="single" w:sz="8" w:space="0" w:color="auto"/>
            </w:tcBorders>
            <w:tcMar>
              <w:top w:w="0" w:type="dxa"/>
              <w:left w:w="108" w:type="dxa"/>
              <w:bottom w:w="0" w:type="dxa"/>
              <w:right w:w="108" w:type="dxa"/>
            </w:tcMar>
            <w:hideMark/>
          </w:tcPr>
          <w:p w14:paraId="49B220DE" w14:textId="77777777" w:rsidR="002C6D1A" w:rsidRDefault="00B40D42">
            <w:pPr>
              <w:jc w:val="center"/>
              <w:rPr>
                <w:sz w:val="22"/>
                <w:szCs w:val="22"/>
                <w:lang w:eastAsia="lt-LT"/>
              </w:rPr>
            </w:pPr>
            <w:r>
              <w:rPr>
                <w:b/>
                <w:bCs/>
                <w:sz w:val="22"/>
                <w:szCs w:val="22"/>
                <w:lang w:eastAsia="lt-LT"/>
              </w:rPr>
              <w:t>4</w:t>
            </w:r>
          </w:p>
        </w:tc>
        <w:tc>
          <w:tcPr>
            <w:tcW w:w="519" w:type="pct"/>
            <w:tcBorders>
              <w:top w:val="nil"/>
              <w:left w:val="nil"/>
              <w:bottom w:val="single" w:sz="4" w:space="0" w:color="auto"/>
              <w:right w:val="single" w:sz="8" w:space="0" w:color="auto"/>
            </w:tcBorders>
            <w:tcMar>
              <w:top w:w="0" w:type="dxa"/>
              <w:left w:w="108" w:type="dxa"/>
              <w:bottom w:w="0" w:type="dxa"/>
              <w:right w:w="108" w:type="dxa"/>
            </w:tcMar>
            <w:hideMark/>
          </w:tcPr>
          <w:p w14:paraId="51A3BCEA" w14:textId="77777777" w:rsidR="002C6D1A" w:rsidRDefault="00B40D42">
            <w:pPr>
              <w:jc w:val="center"/>
              <w:rPr>
                <w:sz w:val="22"/>
                <w:szCs w:val="22"/>
                <w:lang w:eastAsia="lt-LT"/>
              </w:rPr>
            </w:pPr>
            <w:r>
              <w:rPr>
                <w:b/>
                <w:bCs/>
                <w:sz w:val="22"/>
                <w:szCs w:val="22"/>
                <w:lang w:eastAsia="lt-LT"/>
              </w:rPr>
              <w:t>5</w:t>
            </w:r>
          </w:p>
        </w:tc>
        <w:tc>
          <w:tcPr>
            <w:tcW w:w="514" w:type="pct"/>
            <w:tcBorders>
              <w:top w:val="nil"/>
              <w:left w:val="nil"/>
              <w:bottom w:val="single" w:sz="4" w:space="0" w:color="auto"/>
              <w:right w:val="single" w:sz="8" w:space="0" w:color="auto"/>
            </w:tcBorders>
            <w:tcMar>
              <w:top w:w="0" w:type="dxa"/>
              <w:left w:w="108" w:type="dxa"/>
              <w:bottom w:w="0" w:type="dxa"/>
              <w:right w:w="108" w:type="dxa"/>
            </w:tcMar>
            <w:hideMark/>
          </w:tcPr>
          <w:p w14:paraId="119335CD" w14:textId="77777777" w:rsidR="002C6D1A" w:rsidRDefault="00B40D42">
            <w:pPr>
              <w:jc w:val="center"/>
              <w:rPr>
                <w:sz w:val="22"/>
                <w:szCs w:val="22"/>
                <w:lang w:eastAsia="lt-LT"/>
              </w:rPr>
            </w:pPr>
            <w:r>
              <w:rPr>
                <w:b/>
                <w:bCs/>
                <w:sz w:val="22"/>
                <w:szCs w:val="22"/>
                <w:lang w:eastAsia="lt-LT"/>
              </w:rPr>
              <w:t>6</w:t>
            </w:r>
          </w:p>
        </w:tc>
        <w:tc>
          <w:tcPr>
            <w:tcW w:w="51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783B650" w14:textId="77777777" w:rsidR="002C6D1A" w:rsidRDefault="00B40D42">
            <w:pPr>
              <w:jc w:val="center"/>
              <w:rPr>
                <w:strike/>
                <w:sz w:val="22"/>
                <w:szCs w:val="22"/>
                <w:lang w:eastAsia="lt-LT"/>
              </w:rPr>
            </w:pPr>
            <w:r>
              <w:rPr>
                <w:b/>
                <w:bCs/>
                <w:sz w:val="22"/>
                <w:szCs w:val="22"/>
                <w:lang w:eastAsia="lt-LT"/>
              </w:rPr>
              <w:t>7</w:t>
            </w:r>
          </w:p>
        </w:tc>
        <w:tc>
          <w:tcPr>
            <w:tcW w:w="697" w:type="pct"/>
            <w:tcBorders>
              <w:top w:val="nil"/>
              <w:left w:val="nil"/>
              <w:bottom w:val="single" w:sz="4" w:space="0" w:color="auto"/>
              <w:right w:val="single" w:sz="8" w:space="0" w:color="auto"/>
            </w:tcBorders>
            <w:tcMar>
              <w:top w:w="0" w:type="dxa"/>
              <w:left w:w="108" w:type="dxa"/>
              <w:bottom w:w="0" w:type="dxa"/>
              <w:right w:w="108" w:type="dxa"/>
            </w:tcMar>
            <w:hideMark/>
          </w:tcPr>
          <w:p w14:paraId="72F607C8" w14:textId="77777777" w:rsidR="002C6D1A" w:rsidRDefault="00B40D42">
            <w:pPr>
              <w:jc w:val="center"/>
              <w:rPr>
                <w:sz w:val="22"/>
                <w:szCs w:val="22"/>
                <w:lang w:eastAsia="lt-LT"/>
              </w:rPr>
            </w:pPr>
            <w:r>
              <w:rPr>
                <w:b/>
                <w:bCs/>
                <w:sz w:val="22"/>
                <w:szCs w:val="22"/>
                <w:lang w:eastAsia="lt-LT"/>
              </w:rPr>
              <w:t>8</w:t>
            </w:r>
          </w:p>
        </w:tc>
        <w:tc>
          <w:tcPr>
            <w:tcW w:w="37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39572FF" w14:textId="77777777" w:rsidR="002C6D1A" w:rsidRDefault="00B40D42">
            <w:pPr>
              <w:jc w:val="center"/>
              <w:rPr>
                <w:sz w:val="22"/>
                <w:szCs w:val="22"/>
                <w:lang w:eastAsia="lt-LT"/>
              </w:rPr>
            </w:pPr>
            <w:r>
              <w:rPr>
                <w:b/>
                <w:bCs/>
                <w:sz w:val="22"/>
                <w:szCs w:val="22"/>
                <w:lang w:eastAsia="lt-LT"/>
              </w:rPr>
              <w:t>9</w:t>
            </w:r>
          </w:p>
        </w:tc>
      </w:tr>
      <w:tr w:rsidR="002C6D1A" w14:paraId="2B6B7C9A" w14:textId="77777777">
        <w:trPr>
          <w:trHeight w:val="278"/>
        </w:trPr>
        <w:tc>
          <w:tcPr>
            <w:tcW w:w="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92EF4" w14:textId="77777777" w:rsidR="002C6D1A" w:rsidRDefault="00B40D42">
            <w:pPr>
              <w:rPr>
                <w:sz w:val="22"/>
                <w:szCs w:val="22"/>
                <w:lang w:eastAsia="lt-LT"/>
              </w:rPr>
            </w:pPr>
            <w:r>
              <w:rPr>
                <w:color w:val="000000"/>
                <w:sz w:val="22"/>
                <w:szCs w:val="22"/>
              </w:rPr>
              <w:t>01 Tausios žvejybos skatinimas ir vandens biologinių išteklių atkūrimas ir išsaugojimas</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B0536" w14:textId="77777777" w:rsidR="002C6D1A" w:rsidRDefault="00B40D42">
            <w:pPr>
              <w:ind w:firstLine="62"/>
              <w:rPr>
                <w:sz w:val="22"/>
                <w:szCs w:val="22"/>
                <w:lang w:eastAsia="lt-LT"/>
              </w:rPr>
            </w:pPr>
            <w:r>
              <w:rPr>
                <w:bCs/>
                <w:color w:val="000000"/>
                <w:sz w:val="22"/>
                <w:szCs w:val="22"/>
              </w:rPr>
              <w:t xml:space="preserve">1.1. </w:t>
            </w:r>
            <w:r>
              <w:rPr>
                <w:color w:val="000000"/>
                <w:sz w:val="22"/>
                <w:szCs w:val="22"/>
              </w:rPr>
              <w:t>Stiprinti ekonominiu, socialiniu ir aplinkosaugos požiūriu darnią žvejybos veiklą</w:t>
            </w:r>
          </w:p>
        </w:tc>
        <w:tc>
          <w:tcPr>
            <w:tcW w:w="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338F6E" w14:textId="77777777" w:rsidR="002C6D1A" w:rsidRDefault="00B40D42">
            <w:pPr>
              <w:rPr>
                <w:sz w:val="22"/>
                <w:szCs w:val="22"/>
                <w:lang w:eastAsia="lt-LT"/>
              </w:rPr>
            </w:pPr>
            <w:r>
              <w:rPr>
                <w:color w:val="000000"/>
                <w:sz w:val="22"/>
                <w:szCs w:val="22"/>
              </w:rPr>
              <w:t>01 Žvejyba</w:t>
            </w:r>
          </w:p>
        </w:tc>
        <w:tc>
          <w:tcPr>
            <w:tcW w:w="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124C40" w14:textId="77777777" w:rsidR="002C6D1A" w:rsidRDefault="00B40D42">
            <w:pPr>
              <w:rPr>
                <w:color w:val="000000"/>
                <w:sz w:val="22"/>
                <w:szCs w:val="22"/>
              </w:rPr>
            </w:pPr>
            <w:r>
              <w:rPr>
                <w:color w:val="000000"/>
                <w:sz w:val="22"/>
                <w:szCs w:val="22"/>
              </w:rPr>
              <w:t xml:space="preserve">04 Privati </w:t>
            </w:r>
            <w:r>
              <w:rPr>
                <w:color w:val="000000"/>
                <w:sz w:val="22"/>
                <w:szCs w:val="22"/>
              </w:rPr>
              <w:t>įmonė – labai maža;</w:t>
            </w:r>
          </w:p>
          <w:p w14:paraId="1C03EC33" w14:textId="77777777" w:rsidR="002C6D1A" w:rsidRDefault="00B40D42">
            <w:pPr>
              <w:rPr>
                <w:color w:val="000000"/>
                <w:sz w:val="22"/>
                <w:szCs w:val="22"/>
              </w:rPr>
            </w:pPr>
            <w:r>
              <w:rPr>
                <w:color w:val="000000"/>
                <w:sz w:val="22"/>
                <w:szCs w:val="22"/>
              </w:rPr>
              <w:t>05 Privati įmonė (mažoji ar vidutinė įmonė)</w:t>
            </w:r>
          </w:p>
          <w:p w14:paraId="5D8915CD" w14:textId="77777777" w:rsidR="002C6D1A" w:rsidRDefault="002C6D1A">
            <w:pPr>
              <w:ind w:firstLine="62"/>
              <w:rPr>
                <w:sz w:val="22"/>
                <w:szCs w:val="22"/>
                <w:lang w:eastAsia="lt-LT"/>
              </w:rPr>
            </w:pPr>
          </w:p>
        </w:tc>
        <w:tc>
          <w:tcPr>
            <w:tcW w:w="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638EE" w14:textId="77777777" w:rsidR="002C6D1A" w:rsidRDefault="00B40D42">
            <w:pPr>
              <w:rPr>
                <w:bCs/>
                <w:iCs/>
                <w:color w:val="000000"/>
                <w:sz w:val="22"/>
                <w:szCs w:val="22"/>
              </w:rPr>
            </w:pPr>
            <w:r>
              <w:rPr>
                <w:bCs/>
                <w:iCs/>
                <w:color w:val="000000"/>
                <w:sz w:val="22"/>
                <w:szCs w:val="22"/>
              </w:rPr>
              <w:t>01 Jūros</w:t>
            </w:r>
          </w:p>
          <w:p w14:paraId="4292EC09" w14:textId="77777777" w:rsidR="002C6D1A" w:rsidRDefault="002C6D1A">
            <w:pPr>
              <w:rPr>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5EC90" w14:textId="77777777" w:rsidR="002C6D1A" w:rsidRDefault="00B40D42">
            <w:pPr>
              <w:rPr>
                <w:color w:val="000000"/>
                <w:sz w:val="22"/>
                <w:szCs w:val="22"/>
              </w:rPr>
            </w:pPr>
            <w:r>
              <w:rPr>
                <w:color w:val="000000"/>
                <w:sz w:val="22"/>
                <w:szCs w:val="22"/>
              </w:rPr>
              <w:t>29 Su mažos apimties priekrantės žvejyba susijęs veiksmas</w:t>
            </w:r>
            <w:r>
              <w:rPr>
                <w:iCs/>
                <w:color w:val="000000"/>
                <w:sz w:val="22"/>
                <w:szCs w:val="22"/>
              </w:rPr>
              <w:t xml:space="preserve"> </w:t>
            </w:r>
          </w:p>
          <w:p w14:paraId="5C011B3D" w14:textId="77777777" w:rsidR="002C6D1A" w:rsidRDefault="002C6D1A">
            <w:pPr>
              <w:rPr>
                <w:sz w:val="22"/>
                <w:szCs w:val="22"/>
                <w:lang w:eastAsia="lt-LT"/>
              </w:rPr>
            </w:pP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EE594" w14:textId="77777777" w:rsidR="002C6D1A" w:rsidRDefault="00B40D42">
            <w:pPr>
              <w:rPr>
                <w:color w:val="000000"/>
                <w:sz w:val="22"/>
                <w:szCs w:val="22"/>
              </w:rPr>
            </w:pPr>
            <w:r>
              <w:rPr>
                <w:color w:val="000000"/>
                <w:sz w:val="22"/>
                <w:szCs w:val="22"/>
              </w:rPr>
              <w:t xml:space="preserve">27 </w:t>
            </w:r>
            <w:proofErr w:type="spellStart"/>
            <w:r>
              <w:rPr>
                <w:color w:val="000000"/>
                <w:sz w:val="22"/>
                <w:szCs w:val="22"/>
              </w:rPr>
              <w:t>Ekosisteminės</w:t>
            </w:r>
            <w:proofErr w:type="spellEnd"/>
            <w:r>
              <w:rPr>
                <w:color w:val="000000"/>
                <w:sz w:val="22"/>
                <w:szCs w:val="22"/>
              </w:rPr>
              <w:t xml:space="preserve"> paslaugos </w:t>
            </w:r>
          </w:p>
          <w:p w14:paraId="6C3A2040" w14:textId="77777777" w:rsidR="002C6D1A" w:rsidRDefault="002C6D1A">
            <w:pPr>
              <w:rPr>
                <w:sz w:val="22"/>
                <w:szCs w:val="22"/>
                <w:lang w:eastAsia="lt-LT"/>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42E04" w14:textId="77777777" w:rsidR="002C6D1A" w:rsidRDefault="00B40D42">
            <w:pPr>
              <w:rPr>
                <w:strike/>
                <w:sz w:val="22"/>
                <w:szCs w:val="22"/>
                <w:lang w:eastAsia="lt-LT"/>
              </w:rPr>
            </w:pPr>
            <w:r>
              <w:rPr>
                <w:iCs/>
                <w:color w:val="000000"/>
                <w:sz w:val="22"/>
                <w:szCs w:val="22"/>
              </w:rPr>
              <w:t xml:space="preserve">02 Ekonomiškai gyvybingų, konkurencingų ir patrauklių žvejybos, akvakultūros ir perdirbimo </w:t>
            </w:r>
            <w:r>
              <w:rPr>
                <w:iCs/>
                <w:color w:val="000000"/>
                <w:sz w:val="22"/>
                <w:szCs w:val="22"/>
              </w:rPr>
              <w:t>sektorių sąlygų skatinimas</w:t>
            </w:r>
          </w:p>
        </w:tc>
        <w:tc>
          <w:tcPr>
            <w:tcW w:w="3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5FF30" w14:textId="77777777" w:rsidR="002C6D1A" w:rsidRDefault="00B40D42">
            <w:pPr>
              <w:rPr>
                <w:sz w:val="22"/>
                <w:szCs w:val="22"/>
                <w:lang w:eastAsia="lt-LT"/>
              </w:rPr>
            </w:pPr>
            <w:r>
              <w:rPr>
                <w:bCs/>
                <w:iCs/>
                <w:color w:val="000000"/>
                <w:sz w:val="22"/>
                <w:szCs w:val="22"/>
              </w:rPr>
              <w:t>01 Dotacijos</w:t>
            </w:r>
          </w:p>
        </w:tc>
      </w:tr>
    </w:tbl>
    <w:p w14:paraId="5597E135" w14:textId="77777777" w:rsidR="002C6D1A" w:rsidRDefault="002C6D1A">
      <w:pP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2C6D1A" w14:paraId="3D50648E" w14:textId="77777777">
        <w:tc>
          <w:tcPr>
            <w:tcW w:w="14709" w:type="dxa"/>
          </w:tcPr>
          <w:p w14:paraId="3EA7901C" w14:textId="77777777" w:rsidR="002C6D1A" w:rsidRDefault="00B40D42">
            <w:pPr>
              <w:ind w:left="1080" w:hanging="720"/>
              <w:rPr>
                <w:b/>
                <w:sz w:val="22"/>
                <w:szCs w:val="22"/>
              </w:rPr>
            </w:pPr>
            <w:r>
              <w:rPr>
                <w:b/>
                <w:sz w:val="22"/>
                <w:szCs w:val="22"/>
              </w:rPr>
              <w:t>II. SPECIALIEJI FINANSAVIMO REIKALAVIMAI</w:t>
            </w:r>
          </w:p>
        </w:tc>
      </w:tr>
      <w:tr w:rsidR="002C6D1A" w14:paraId="1E7329C4" w14:textId="77777777">
        <w:tc>
          <w:tcPr>
            <w:tcW w:w="14709" w:type="dxa"/>
          </w:tcPr>
          <w:p w14:paraId="502E6205" w14:textId="77777777" w:rsidR="002C6D1A" w:rsidRDefault="00B40D42">
            <w:pPr>
              <w:rPr>
                <w:b/>
                <w:bCs/>
                <w:sz w:val="22"/>
                <w:szCs w:val="22"/>
              </w:rPr>
            </w:pPr>
            <w:r>
              <w:rPr>
                <w:b/>
                <w:bCs/>
                <w:sz w:val="22"/>
                <w:szCs w:val="22"/>
              </w:rPr>
              <w:t>1. Taikomi teisės aktai ir trumpiniai</w:t>
            </w:r>
          </w:p>
        </w:tc>
      </w:tr>
      <w:tr w:rsidR="002C6D1A" w14:paraId="1070BB6B" w14:textId="77777777">
        <w:tc>
          <w:tcPr>
            <w:tcW w:w="14709" w:type="dxa"/>
            <w:shd w:val="clear" w:color="auto" w:fill="auto"/>
          </w:tcPr>
          <w:p w14:paraId="431616C6" w14:textId="77777777" w:rsidR="002C6D1A" w:rsidRDefault="00B40D42">
            <w:pPr>
              <w:tabs>
                <w:tab w:val="left" w:pos="452"/>
              </w:tabs>
              <w:spacing w:line="360" w:lineRule="auto"/>
              <w:jc w:val="both"/>
              <w:rPr>
                <w:color w:val="000000"/>
                <w:sz w:val="22"/>
                <w:szCs w:val="22"/>
              </w:rPr>
            </w:pPr>
            <w:r>
              <w:rPr>
                <w:color w:val="000000"/>
                <w:sz w:val="22"/>
                <w:szCs w:val="22"/>
              </w:rPr>
              <w:t>1.1.</w:t>
            </w:r>
            <w:r>
              <w:rPr>
                <w:color w:val="000000"/>
                <w:sz w:val="22"/>
                <w:szCs w:val="22"/>
              </w:rPr>
              <w:tab/>
              <w:t xml:space="preserve">2021 m. birželio 24 d. Europos Parlamento ir Tarybos reglamentas </w:t>
            </w:r>
            <w:r>
              <w:rPr>
                <w:color w:val="0563C1"/>
                <w:sz w:val="22"/>
                <w:szCs w:val="22"/>
                <w:u w:val="single"/>
              </w:rPr>
              <w:t>(ES) Nr. 2021/1060</w:t>
            </w:r>
            <w:r>
              <w:rPr>
                <w:color w:val="000000"/>
                <w:sz w:val="22"/>
                <w:szCs w:val="22"/>
              </w:rPr>
              <w:t xml:space="preserve">, kuriuo nustatomos bendros Europos regioninės plėtros fondo, „Europos socialinio fondo+“, Sanglaudos fondo, Teisingos pertvarkos fondo ir Europos jūrų reikalų, žvejybos ir akvakultūros fondo nuostatos ir šių fondų bei Prieglobsčio, </w:t>
            </w:r>
            <w:r>
              <w:rPr>
                <w:color w:val="000000"/>
                <w:sz w:val="22"/>
                <w:szCs w:val="22"/>
              </w:rPr>
              <w:lastRenderedPageBreak/>
              <w:t>migracijos ir integraci</w:t>
            </w:r>
            <w:r>
              <w:rPr>
                <w:color w:val="000000"/>
                <w:sz w:val="22"/>
                <w:szCs w:val="22"/>
              </w:rPr>
              <w:t xml:space="preserve">jos fondo, Vidaus saugumo fondo ir Sienų valdymo ir vizų politikos finansinės paramos priemonės taisyklės (toliau – Reglamentas </w:t>
            </w:r>
            <w:r>
              <w:rPr>
                <w:color w:val="0563C1"/>
                <w:sz w:val="22"/>
                <w:szCs w:val="22"/>
                <w:u w:val="single"/>
              </w:rPr>
              <w:t>(ES) Nr. 2021/1060</w:t>
            </w:r>
            <w:r>
              <w:rPr>
                <w:color w:val="000000"/>
                <w:sz w:val="22"/>
                <w:szCs w:val="22"/>
              </w:rPr>
              <w:t>);</w:t>
            </w:r>
          </w:p>
          <w:p w14:paraId="41748A36" w14:textId="77777777" w:rsidR="002C6D1A" w:rsidRDefault="00B40D42">
            <w:pPr>
              <w:tabs>
                <w:tab w:val="left" w:pos="452"/>
              </w:tabs>
              <w:spacing w:line="360" w:lineRule="auto"/>
              <w:jc w:val="both"/>
              <w:rPr>
                <w:sz w:val="22"/>
                <w:szCs w:val="22"/>
              </w:rPr>
            </w:pPr>
            <w:r>
              <w:rPr>
                <w:sz w:val="22"/>
                <w:szCs w:val="22"/>
              </w:rPr>
              <w:t>1.2.</w:t>
            </w:r>
            <w:r>
              <w:rPr>
                <w:sz w:val="22"/>
                <w:szCs w:val="22"/>
              </w:rPr>
              <w:tab/>
            </w:r>
            <w:r>
              <w:rPr>
                <w:color w:val="000000"/>
                <w:sz w:val="22"/>
                <w:szCs w:val="22"/>
              </w:rPr>
              <w:t xml:space="preserve">2021 m. liepos 7 d. </w:t>
            </w:r>
            <w:r>
              <w:rPr>
                <w:sz w:val="22"/>
                <w:szCs w:val="22"/>
              </w:rPr>
              <w:t xml:space="preserve"> </w:t>
            </w:r>
            <w:r>
              <w:rPr>
                <w:color w:val="000000"/>
                <w:sz w:val="22"/>
                <w:szCs w:val="22"/>
              </w:rPr>
              <w:t xml:space="preserve">Europos Parlamento ir Tarybos reglamentas </w:t>
            </w:r>
            <w:r>
              <w:rPr>
                <w:color w:val="0563C1"/>
                <w:sz w:val="22"/>
                <w:szCs w:val="22"/>
                <w:u w:val="single"/>
              </w:rPr>
              <w:t>(ES) Nr. 2021/1139</w:t>
            </w:r>
            <w:r>
              <w:rPr>
                <w:color w:val="000000"/>
                <w:sz w:val="22"/>
                <w:szCs w:val="22"/>
              </w:rPr>
              <w:t>, kuriuo nustatomas E</w:t>
            </w:r>
            <w:r>
              <w:rPr>
                <w:color w:val="000000"/>
                <w:sz w:val="22"/>
                <w:szCs w:val="22"/>
              </w:rPr>
              <w:t xml:space="preserve">uropos jūrų reikalų, žvejybos ir akvakultūros fondas ir iš dalies keičiamas Reglamentas </w:t>
            </w:r>
            <w:r>
              <w:rPr>
                <w:color w:val="0563C1"/>
                <w:sz w:val="22"/>
                <w:szCs w:val="22"/>
                <w:u w:val="single"/>
              </w:rPr>
              <w:t>(ES) Nr. 2017/1004</w:t>
            </w:r>
            <w:r>
              <w:rPr>
                <w:color w:val="000000"/>
                <w:sz w:val="22"/>
                <w:szCs w:val="22"/>
              </w:rPr>
              <w:t xml:space="preserve"> (toliau – Reglamentas </w:t>
            </w:r>
            <w:r>
              <w:rPr>
                <w:color w:val="0563C1"/>
                <w:sz w:val="22"/>
                <w:szCs w:val="22"/>
                <w:u w:val="single"/>
              </w:rPr>
              <w:t>(ES) Nr. 2021/1139</w:t>
            </w:r>
            <w:r>
              <w:rPr>
                <w:color w:val="000000"/>
                <w:sz w:val="22"/>
                <w:szCs w:val="22"/>
              </w:rPr>
              <w:t>);</w:t>
            </w:r>
          </w:p>
          <w:p w14:paraId="2EE7231E" w14:textId="77777777" w:rsidR="002C6D1A" w:rsidRDefault="00B40D42">
            <w:pPr>
              <w:tabs>
                <w:tab w:val="left" w:pos="452"/>
              </w:tabs>
              <w:spacing w:line="360" w:lineRule="auto"/>
              <w:jc w:val="both"/>
              <w:rPr>
                <w:sz w:val="22"/>
                <w:szCs w:val="22"/>
              </w:rPr>
            </w:pPr>
            <w:r>
              <w:rPr>
                <w:sz w:val="22"/>
                <w:szCs w:val="22"/>
              </w:rPr>
              <w:t>1.3.</w:t>
            </w:r>
            <w:r>
              <w:rPr>
                <w:sz w:val="22"/>
                <w:szCs w:val="22"/>
              </w:rPr>
              <w:tab/>
              <w:t xml:space="preserve"> Lietuvos žuvininkystės sektoriaus 2021–2027 metų programa (toliau – Žuvininkystės programa), patvirt</w:t>
            </w:r>
            <w:r>
              <w:rPr>
                <w:sz w:val="22"/>
                <w:szCs w:val="22"/>
              </w:rPr>
              <w:t xml:space="preserve">inta 2022 m. spalio 31 d. </w:t>
            </w:r>
            <w:r>
              <w:rPr>
                <w:bCs/>
                <w:sz w:val="22"/>
                <w:szCs w:val="22"/>
              </w:rPr>
              <w:t>Europos Komisijos įgyvendinimo sprendimu C (2022) 8008</w:t>
            </w:r>
            <w:r>
              <w:rPr>
                <w:sz w:val="22"/>
                <w:szCs w:val="22"/>
              </w:rPr>
              <w:t xml:space="preserve">;  </w:t>
            </w:r>
          </w:p>
          <w:p w14:paraId="743B0625" w14:textId="77777777" w:rsidR="002C6D1A" w:rsidRDefault="00B40D42">
            <w:pPr>
              <w:tabs>
                <w:tab w:val="left" w:pos="452"/>
              </w:tabs>
              <w:spacing w:line="360" w:lineRule="auto"/>
              <w:jc w:val="both"/>
              <w:rPr>
                <w:sz w:val="22"/>
                <w:szCs w:val="22"/>
              </w:rPr>
            </w:pPr>
            <w:r>
              <w:rPr>
                <w:sz w:val="22"/>
                <w:szCs w:val="22"/>
              </w:rPr>
              <w:t>1.4.</w:t>
            </w:r>
            <w:r>
              <w:rPr>
                <w:sz w:val="22"/>
                <w:szCs w:val="22"/>
              </w:rPr>
              <w:tab/>
              <w:t xml:space="preserve">2022 m. sausio 19 d. Komisijos įgyvendinimo reglamentas </w:t>
            </w:r>
            <w:r>
              <w:rPr>
                <w:color w:val="0563C1"/>
                <w:sz w:val="22"/>
                <w:szCs w:val="22"/>
                <w:u w:val="single"/>
              </w:rPr>
              <w:t>(ES) 2022/79</w:t>
            </w:r>
            <w:r>
              <w:rPr>
                <w:sz w:val="22"/>
                <w:szCs w:val="22"/>
              </w:rPr>
              <w:t xml:space="preserve">, kuriuo nustatomos Europos Parlamento ir Tarybos reglamento </w:t>
            </w:r>
            <w:r>
              <w:rPr>
                <w:color w:val="0563C1"/>
                <w:sz w:val="22"/>
                <w:szCs w:val="22"/>
                <w:u w:val="single"/>
              </w:rPr>
              <w:t>(ES) 2021/1139</w:t>
            </w:r>
            <w:r>
              <w:rPr>
                <w:sz w:val="22"/>
                <w:szCs w:val="22"/>
              </w:rPr>
              <w:t xml:space="preserve"> taikymo taisyklės dėl veiksmų lygmens įgyvendinimo duomenų registravimo, perdavimo ir pateikimo; </w:t>
            </w:r>
          </w:p>
          <w:p w14:paraId="1767A7E3" w14:textId="77777777" w:rsidR="002C6D1A" w:rsidRDefault="00B40D42">
            <w:pPr>
              <w:tabs>
                <w:tab w:val="left" w:pos="452"/>
              </w:tabs>
              <w:spacing w:line="360" w:lineRule="auto"/>
              <w:jc w:val="both"/>
              <w:rPr>
                <w:sz w:val="22"/>
                <w:szCs w:val="22"/>
              </w:rPr>
            </w:pPr>
            <w:r>
              <w:rPr>
                <w:sz w:val="22"/>
                <w:szCs w:val="22"/>
              </w:rPr>
              <w:t>1.5. Lietuvos Respublikos žuvininkystės įstatymas;</w:t>
            </w:r>
          </w:p>
          <w:p w14:paraId="7EA07F69" w14:textId="77777777" w:rsidR="002C6D1A" w:rsidRDefault="00B40D42">
            <w:pPr>
              <w:tabs>
                <w:tab w:val="left" w:pos="452"/>
              </w:tabs>
              <w:spacing w:line="360" w:lineRule="auto"/>
              <w:jc w:val="both"/>
              <w:rPr>
                <w:sz w:val="22"/>
                <w:szCs w:val="22"/>
              </w:rPr>
            </w:pPr>
            <w:r>
              <w:rPr>
                <w:sz w:val="22"/>
                <w:szCs w:val="22"/>
              </w:rPr>
              <w:t>1.6.</w:t>
            </w:r>
            <w:r>
              <w:rPr>
                <w:sz w:val="22"/>
                <w:szCs w:val="22"/>
              </w:rPr>
              <w:tab/>
              <w:t>Lietuvos žuvininkystės sektoriaus 2021–2027 metų programos administravimo taisyklės, patvirtintos Lie</w:t>
            </w:r>
            <w:r>
              <w:rPr>
                <w:sz w:val="22"/>
                <w:szCs w:val="22"/>
              </w:rPr>
              <w:t>tuvos Respublikos žemės ūkio ministro 2022 m. gruodžio 12 d. įsakymu Nr. 3D-798 „Dėl Lietuvos žuvininkystės sektoriaus 2021–2027 metų programos administravimo taisyklių patvirtinimo“;</w:t>
            </w:r>
          </w:p>
          <w:p w14:paraId="6E44D814" w14:textId="77777777" w:rsidR="002C6D1A" w:rsidRDefault="00B40D42">
            <w:pPr>
              <w:tabs>
                <w:tab w:val="left" w:pos="452"/>
              </w:tabs>
              <w:spacing w:line="360" w:lineRule="auto"/>
              <w:jc w:val="both"/>
              <w:rPr>
                <w:sz w:val="22"/>
                <w:szCs w:val="22"/>
              </w:rPr>
            </w:pPr>
            <w:r>
              <w:rPr>
                <w:sz w:val="22"/>
                <w:szCs w:val="22"/>
              </w:rPr>
              <w:t>1.7. Lietuvos žuvininkystės sektoriaus 2021–2027 metų programos projektų</w:t>
            </w:r>
            <w:r>
              <w:rPr>
                <w:sz w:val="22"/>
                <w:szCs w:val="22"/>
              </w:rPr>
              <w:t xml:space="preserve"> finansavimo ir administravimo taisyklės (toliau – PFAT), patvirtintos Lietuvos Respublikos žemės ūkio ministro 2023 m. birželio 23 d. įsakymu Nr. 3D-414 „Dėl Lietuvos žuvininkystės sektoriaus 2021–2027 metų programos projektų finansavimo ir administravimo</w:t>
            </w:r>
            <w:r>
              <w:rPr>
                <w:sz w:val="22"/>
                <w:szCs w:val="22"/>
              </w:rPr>
              <w:t xml:space="preserve"> taisyklių patvirtinimo“.</w:t>
            </w:r>
          </w:p>
          <w:p w14:paraId="622257B2" w14:textId="77777777" w:rsidR="002C6D1A" w:rsidRDefault="00B40D42">
            <w:pPr>
              <w:tabs>
                <w:tab w:val="left" w:pos="452"/>
              </w:tabs>
              <w:spacing w:line="360" w:lineRule="auto"/>
              <w:jc w:val="both"/>
              <w:rPr>
                <w:sz w:val="22"/>
                <w:szCs w:val="22"/>
              </w:rPr>
            </w:pPr>
            <w:r>
              <w:rPr>
                <w:sz w:val="22"/>
                <w:szCs w:val="22"/>
              </w:rPr>
              <w:t>1.8. Taikomi trumpiniai:</w:t>
            </w:r>
          </w:p>
          <w:p w14:paraId="5A8B3F2C" w14:textId="77777777" w:rsidR="002C6D1A" w:rsidRDefault="00B40D42">
            <w:pPr>
              <w:spacing w:line="360" w:lineRule="auto"/>
              <w:jc w:val="both"/>
              <w:rPr>
                <w:sz w:val="22"/>
                <w:szCs w:val="22"/>
              </w:rPr>
            </w:pPr>
            <w:r>
              <w:rPr>
                <w:sz w:val="22"/>
                <w:szCs w:val="22"/>
              </w:rPr>
              <w:t xml:space="preserve">1.8.1. Valdymo priemonė – įgyvendinant </w:t>
            </w:r>
            <w:r>
              <w:rPr>
                <w:color w:val="000000"/>
                <w:sz w:val="22"/>
                <w:szCs w:val="22"/>
              </w:rPr>
              <w:t>Žuvininkystės programos pirmojo prioriteto „Tausios žvejybos skatinimas ir vandens biologinių išteklių atkūrimas ir išsaugojimas“ priemonės „Paukščius apsaugančių žve</w:t>
            </w:r>
            <w:r>
              <w:rPr>
                <w:color w:val="000000"/>
                <w:sz w:val="22"/>
                <w:szCs w:val="22"/>
              </w:rPr>
              <w:t xml:space="preserve">jybos valdymo priemonių taikymo ir žinduolių, kurie saugomi, daromos žalos kompensavimo sistemos“ (toliau – Priemonė) kompensacijų skyrimo sąlygų aprašo (toliau – </w:t>
            </w:r>
            <w:r>
              <w:rPr>
                <w:sz w:val="22"/>
                <w:szCs w:val="22"/>
              </w:rPr>
              <w:t>Aprašas) 3.1 papunktyje nurodytą finansuojamą projekto veiklą taikoma Aprašo 3.2 papunktyje n</w:t>
            </w:r>
            <w:r>
              <w:rPr>
                <w:sz w:val="22"/>
                <w:szCs w:val="22"/>
              </w:rPr>
              <w:t xml:space="preserve">umatyta paukščius ir žinduolius, kurie saugomi, apsauganti žvejybos valdymo priemonė. </w:t>
            </w:r>
          </w:p>
          <w:p w14:paraId="2B037053" w14:textId="77777777" w:rsidR="002C6D1A" w:rsidRDefault="00B40D42">
            <w:pPr>
              <w:spacing w:line="360" w:lineRule="auto"/>
              <w:jc w:val="both"/>
              <w:rPr>
                <w:sz w:val="22"/>
                <w:szCs w:val="22"/>
              </w:rPr>
            </w:pPr>
            <w:r>
              <w:rPr>
                <w:sz w:val="22"/>
                <w:szCs w:val="22"/>
              </w:rPr>
              <w:t xml:space="preserve">1.8.2. Valdymo priemonių taikymo etapas – laikotarpis, už kurį teikiama veiklos ataskaita ir apskaičiuojama kompensacija už Valdymo priemonių taikymą,  kuris trunka nuo </w:t>
            </w:r>
            <w:r>
              <w:rPr>
                <w:sz w:val="22"/>
                <w:szCs w:val="22"/>
              </w:rPr>
              <w:t>n-1-ųjų metų balandžio 1 d. iki n-</w:t>
            </w:r>
            <w:proofErr w:type="spellStart"/>
            <w:r>
              <w:rPr>
                <w:sz w:val="22"/>
                <w:szCs w:val="22"/>
              </w:rPr>
              <w:t>ųjų</w:t>
            </w:r>
            <w:proofErr w:type="spellEnd"/>
            <w:r>
              <w:rPr>
                <w:sz w:val="22"/>
                <w:szCs w:val="22"/>
              </w:rPr>
              <w:t xml:space="preserve"> metų kovo 31 d., išskyrus pirmąjį ir galutinį Valdymo priemonių taikymo etapus. Pirmasis Valdymo priemonių taikymo etapas prasideda nuo pagal Aprašą finansuojamos projekto veiklos vykdymo pradžios, o galutinio Valdymo </w:t>
            </w:r>
            <w:r>
              <w:rPr>
                <w:sz w:val="22"/>
                <w:szCs w:val="22"/>
              </w:rPr>
              <w:t xml:space="preserve">priemonių taikymo etapo pabaiga atitinka projekto sutartyje nustatytą projekto veiklų vykdymo pabaigą. Visas projekto veiklų vykdymo laikotarpis susidaro iš Valdymo priemonių taikymo etapų. </w:t>
            </w:r>
          </w:p>
          <w:p w14:paraId="3DF8E4DD" w14:textId="1CAF3A59" w:rsidR="00B40D42" w:rsidRDefault="00B40D42" w:rsidP="00B40D42">
            <w:pPr>
              <w:spacing w:line="360" w:lineRule="auto"/>
              <w:jc w:val="both"/>
              <w:rPr>
                <w:sz w:val="22"/>
                <w:szCs w:val="22"/>
              </w:rPr>
            </w:pPr>
            <w:r>
              <w:rPr>
                <w:sz w:val="22"/>
                <w:szCs w:val="22"/>
              </w:rPr>
              <w:lastRenderedPageBreak/>
              <w:t xml:space="preserve">1.8.3. </w:t>
            </w:r>
            <w:r>
              <w:rPr>
                <w:sz w:val="22"/>
                <w:szCs w:val="22"/>
                <w:lang w:eastAsia="lt-LT"/>
              </w:rPr>
              <w:t>Vidutinė laikotarpio žvejybos trukmė</w:t>
            </w:r>
            <w:r>
              <w:rPr>
                <w:rFonts w:eastAsia="Calibri"/>
                <w:sz w:val="22"/>
                <w:szCs w:val="22"/>
              </w:rPr>
              <w:t xml:space="preserve"> – konkrečios įmonės p</w:t>
            </w:r>
            <w:r>
              <w:rPr>
                <w:rFonts w:eastAsia="Calibri"/>
                <w:sz w:val="22"/>
                <w:szCs w:val="22"/>
              </w:rPr>
              <w:t>askutiniųjų trijų laikotarpių, prieš pirmą kartą nustatytą laikino žvejybos ribojimo laikotarpį,  vidutinę žvejybos trukmę (išskyrus tą (-uos) laikotarpį (-</w:t>
            </w:r>
            <w:proofErr w:type="spellStart"/>
            <w:r>
              <w:rPr>
                <w:rFonts w:eastAsia="Calibri"/>
                <w:sz w:val="22"/>
                <w:szCs w:val="22"/>
              </w:rPr>
              <w:t>ius</w:t>
            </w:r>
            <w:proofErr w:type="spellEnd"/>
            <w:r>
              <w:rPr>
                <w:rFonts w:eastAsia="Calibri"/>
                <w:sz w:val="22"/>
                <w:szCs w:val="22"/>
              </w:rPr>
              <w:t xml:space="preserve">), kai nebuvo vykdoma verslinės žvejybos veikla). </w:t>
            </w:r>
            <w:bookmarkStart w:id="0" w:name="_GoBack"/>
            <w:bookmarkEnd w:id="0"/>
          </w:p>
        </w:tc>
      </w:tr>
      <w:tr w:rsidR="002C6D1A" w14:paraId="61A23461" w14:textId="77777777">
        <w:tc>
          <w:tcPr>
            <w:tcW w:w="14709" w:type="dxa"/>
          </w:tcPr>
          <w:p w14:paraId="4FD2B623" w14:textId="77777777" w:rsidR="002C6D1A" w:rsidRDefault="00B40D42">
            <w:pPr>
              <w:spacing w:line="360" w:lineRule="auto"/>
              <w:jc w:val="both"/>
              <w:rPr>
                <w:color w:val="000000"/>
                <w:sz w:val="22"/>
                <w:szCs w:val="22"/>
              </w:rPr>
            </w:pPr>
            <w:r>
              <w:rPr>
                <w:b/>
                <w:bCs/>
                <w:sz w:val="22"/>
                <w:szCs w:val="22"/>
              </w:rPr>
              <w:lastRenderedPageBreak/>
              <w:t>2. P</w:t>
            </w:r>
            <w:r>
              <w:rPr>
                <w:b/>
                <w:bCs/>
                <w:color w:val="000000"/>
                <w:sz w:val="22"/>
                <w:szCs w:val="22"/>
              </w:rPr>
              <w:t>rojektams įgyvendinti skiriama suma</w:t>
            </w:r>
          </w:p>
        </w:tc>
      </w:tr>
      <w:tr w:rsidR="002C6D1A" w14:paraId="385C267F" w14:textId="77777777">
        <w:tc>
          <w:tcPr>
            <w:tcW w:w="14709" w:type="dxa"/>
          </w:tcPr>
          <w:p w14:paraId="26C05B03" w14:textId="77777777" w:rsidR="002C6D1A" w:rsidRDefault="00B40D42">
            <w:pPr>
              <w:spacing w:line="360" w:lineRule="auto"/>
              <w:jc w:val="both"/>
              <w:rPr>
                <w:color w:val="000000"/>
                <w:sz w:val="22"/>
                <w:szCs w:val="22"/>
              </w:rPr>
            </w:pPr>
            <w:r>
              <w:rPr>
                <w:color w:val="000000"/>
                <w:sz w:val="22"/>
                <w:szCs w:val="22"/>
              </w:rPr>
              <w:t>2.1.</w:t>
            </w:r>
            <w:r>
              <w:rPr>
                <w:color w:val="000000"/>
                <w:sz w:val="22"/>
                <w:szCs w:val="22"/>
              </w:rPr>
              <w:t xml:space="preserve"> Pagal Aprašą</w:t>
            </w:r>
            <w:r>
              <w:rPr>
                <w:rFonts w:eastAsia="Calibri"/>
                <w:sz w:val="22"/>
                <w:szCs w:val="22"/>
              </w:rPr>
              <w:t xml:space="preserve"> </w:t>
            </w:r>
            <w:r>
              <w:rPr>
                <w:color w:val="000000"/>
                <w:sz w:val="22"/>
                <w:szCs w:val="22"/>
              </w:rPr>
              <w:t>kompensacijoms skiriama iki 730 000 (septyni šimtai trisdešimt tūkstančių) Europos jūrų reikalų, žvejybos ir akvakultūros fondo (toliau – EJRŽAF) ir bendrojo finansavimo lėšų (70 proc. iš EJRŽAF lėšų ir 30 proc. iš bendrojo finansavimo lėšų).</w:t>
            </w:r>
          </w:p>
          <w:p w14:paraId="3C70398A" w14:textId="77777777" w:rsidR="002C6D1A" w:rsidRDefault="00B40D42">
            <w:pPr>
              <w:spacing w:line="360" w:lineRule="auto"/>
              <w:jc w:val="both"/>
              <w:rPr>
                <w:sz w:val="22"/>
                <w:szCs w:val="22"/>
              </w:rPr>
            </w:pPr>
            <w:r>
              <w:rPr>
                <w:sz w:val="22"/>
                <w:szCs w:val="22"/>
              </w:rPr>
              <w:t>2.2. Didžiausia galima paramos suma vienam prašymui skirti kompensaciją (toliau – PSK) ir (arba) vienam paramos gavėjui pagal Aprašą nenustatoma. Kompensacija apskaičiuojama ir išmokama Aprašo 9 punkte nustatyta tvarka. Paramos intensyvumo norma yra 100 p</w:t>
            </w:r>
            <w:r>
              <w:rPr>
                <w:sz w:val="22"/>
                <w:szCs w:val="22"/>
              </w:rPr>
              <w:t xml:space="preserve">roc. Paramos gavėjas negali vienu metu vykdyti daugiau nei vieno projekto, įgyvendinamo pagal Aprašą. </w:t>
            </w:r>
          </w:p>
        </w:tc>
      </w:tr>
      <w:tr w:rsidR="002C6D1A" w14:paraId="4F872A2E" w14:textId="77777777">
        <w:tc>
          <w:tcPr>
            <w:tcW w:w="14709" w:type="dxa"/>
          </w:tcPr>
          <w:p w14:paraId="423D94ED" w14:textId="77777777" w:rsidR="002C6D1A" w:rsidRDefault="00B40D42">
            <w:pPr>
              <w:spacing w:line="360" w:lineRule="auto"/>
              <w:rPr>
                <w:b/>
                <w:sz w:val="22"/>
                <w:szCs w:val="22"/>
              </w:rPr>
            </w:pPr>
            <w:r>
              <w:rPr>
                <w:b/>
                <w:sz w:val="22"/>
                <w:szCs w:val="22"/>
              </w:rPr>
              <w:t>3. Reikalavimai projektams</w:t>
            </w:r>
          </w:p>
        </w:tc>
      </w:tr>
      <w:tr w:rsidR="002C6D1A" w14:paraId="34D2DCA5" w14:textId="77777777">
        <w:tc>
          <w:tcPr>
            <w:tcW w:w="14709" w:type="dxa"/>
          </w:tcPr>
          <w:p w14:paraId="0F69F7A3" w14:textId="77777777" w:rsidR="002C6D1A" w:rsidRDefault="00B40D42">
            <w:pPr>
              <w:tabs>
                <w:tab w:val="left" w:pos="447"/>
              </w:tabs>
              <w:spacing w:line="360" w:lineRule="auto"/>
              <w:jc w:val="both"/>
              <w:rPr>
                <w:sz w:val="22"/>
                <w:szCs w:val="22"/>
              </w:rPr>
            </w:pPr>
            <w:r>
              <w:rPr>
                <w:sz w:val="22"/>
                <w:szCs w:val="22"/>
              </w:rPr>
              <w:t>3.1. Pagal Aprašą finansuojama projekto veikla (kompensacijos paskirtis) – paukščius ir žinduolius, kurie saugomi, apsauganč</w:t>
            </w:r>
            <w:r>
              <w:rPr>
                <w:sz w:val="22"/>
                <w:szCs w:val="22"/>
              </w:rPr>
              <w:t xml:space="preserve">ių žvejybos valdymo priemonių (Valdymo priemonės) taikymas.  </w:t>
            </w:r>
          </w:p>
          <w:p w14:paraId="6F4DE248" w14:textId="61603842" w:rsidR="002C6D1A" w:rsidRDefault="00B40D42">
            <w:pPr>
              <w:tabs>
                <w:tab w:val="left" w:pos="447"/>
              </w:tabs>
              <w:spacing w:line="360" w:lineRule="auto"/>
              <w:jc w:val="both"/>
              <w:rPr>
                <w:sz w:val="22"/>
                <w:szCs w:val="22"/>
              </w:rPr>
            </w:pPr>
            <w:r>
              <w:rPr>
                <w:sz w:val="22"/>
                <w:szCs w:val="22"/>
              </w:rPr>
              <w:t>3.2. Pagal Aprašą kompensuojama Valdymo priemonė:  laikinas žvejybos statomais (žiauniniais) tinklais stabdymas 1–15 ir 19–26 Baltijos jūros priekrantės žvejybos baruose (toliau – laikinas žvejy</w:t>
            </w:r>
            <w:r>
              <w:rPr>
                <w:sz w:val="22"/>
                <w:szCs w:val="22"/>
              </w:rPr>
              <w:t>bos ribojimas) nuo lapkričio 1 d. (imtinai) iki kovo 31 d. (imtinai) (toliau – laikino žvejybos ribojimo laikotarpis).</w:t>
            </w:r>
          </w:p>
          <w:p w14:paraId="19EEDB98" w14:textId="77777777" w:rsidR="002C6D1A" w:rsidRDefault="00B40D42">
            <w:pPr>
              <w:tabs>
                <w:tab w:val="left" w:pos="447"/>
              </w:tabs>
              <w:spacing w:line="360" w:lineRule="auto"/>
              <w:jc w:val="both"/>
              <w:rPr>
                <w:sz w:val="22"/>
                <w:szCs w:val="22"/>
              </w:rPr>
            </w:pPr>
            <w:r>
              <w:rPr>
                <w:sz w:val="22"/>
                <w:szCs w:val="22"/>
              </w:rPr>
              <w:t>3.3. Visi Aprašo keitimai, susiję su Valdymo priemonėmis ir jų taikymu, galioja visiems įsakymo, kuriuo keičiamas Aprašas, įsigaliojimo m</w:t>
            </w:r>
            <w:r>
              <w:rPr>
                <w:sz w:val="22"/>
                <w:szCs w:val="22"/>
              </w:rPr>
              <w:t xml:space="preserve">etu įgyvendinamiems arba vertinamiems projektams, nuo to įsakymo įsigaliojimo dienos.  </w:t>
            </w:r>
          </w:p>
          <w:p w14:paraId="7B6B1E5F" w14:textId="77777777" w:rsidR="002C6D1A" w:rsidRDefault="00B40D42">
            <w:pPr>
              <w:tabs>
                <w:tab w:val="left" w:pos="447"/>
              </w:tabs>
              <w:spacing w:line="360" w:lineRule="auto"/>
              <w:jc w:val="both"/>
              <w:rPr>
                <w:sz w:val="22"/>
                <w:szCs w:val="22"/>
              </w:rPr>
            </w:pPr>
            <w:r>
              <w:rPr>
                <w:sz w:val="22"/>
                <w:szCs w:val="22"/>
              </w:rPr>
              <w:t>3.4. Galimi pareiškėjai – įmonės, vykdančios verslinę žvejybą Baltijos jūros priekrantės žvejybos zonoje ir turinčios perleidžiamąją teisę naudoti verslinės žvejybos įr</w:t>
            </w:r>
            <w:r>
              <w:rPr>
                <w:sz w:val="22"/>
                <w:szCs w:val="22"/>
              </w:rPr>
              <w:t xml:space="preserve">ankius priekrantės žvejybai. </w:t>
            </w:r>
          </w:p>
          <w:p w14:paraId="57791FA4" w14:textId="77777777" w:rsidR="002C6D1A" w:rsidRDefault="00B40D42">
            <w:pPr>
              <w:tabs>
                <w:tab w:val="left" w:pos="447"/>
              </w:tabs>
              <w:spacing w:line="360" w:lineRule="auto"/>
              <w:jc w:val="both"/>
              <w:rPr>
                <w:sz w:val="22"/>
                <w:szCs w:val="22"/>
              </w:rPr>
            </w:pPr>
            <w:r>
              <w:rPr>
                <w:kern w:val="2"/>
                <w:sz w:val="22"/>
                <w:szCs w:val="22"/>
                <w14:ligatures w14:val="standardContextual"/>
              </w:rPr>
              <w:t>3.5.</w:t>
            </w:r>
            <w:r>
              <w:rPr>
                <w:kern w:val="2"/>
                <w:sz w:val="22"/>
                <w:szCs w:val="22"/>
                <w14:ligatures w14:val="standardContextual"/>
              </w:rPr>
              <w:tab/>
            </w:r>
            <w:r>
              <w:rPr>
                <w:sz w:val="22"/>
                <w:szCs w:val="22"/>
              </w:rPr>
              <w:t>PSK teikiami be partnerių.</w:t>
            </w:r>
          </w:p>
          <w:p w14:paraId="5CBFBD9A" w14:textId="77777777" w:rsidR="002C6D1A" w:rsidRDefault="00B40D42">
            <w:pPr>
              <w:tabs>
                <w:tab w:val="left" w:pos="447"/>
              </w:tabs>
              <w:spacing w:line="360" w:lineRule="auto"/>
              <w:jc w:val="both"/>
              <w:rPr>
                <w:sz w:val="22"/>
                <w:szCs w:val="22"/>
              </w:rPr>
            </w:pPr>
            <w:r>
              <w:rPr>
                <w:kern w:val="2"/>
                <w:sz w:val="22"/>
                <w:szCs w:val="22"/>
                <w14:ligatures w14:val="standardContextual"/>
              </w:rPr>
              <w:t>3.6.</w:t>
            </w:r>
            <w:r>
              <w:rPr>
                <w:kern w:val="2"/>
                <w:sz w:val="22"/>
                <w:szCs w:val="22"/>
                <w14:ligatures w14:val="standardContextual"/>
              </w:rPr>
              <w:tab/>
            </w:r>
            <w:r>
              <w:rPr>
                <w:sz w:val="22"/>
                <w:szCs w:val="22"/>
              </w:rPr>
              <w:t>Projekto veikla gali būti vykdoma nuo 2024 m. lapkričio 1 d. iki 2029 m. gruodžio 31 d.</w:t>
            </w:r>
          </w:p>
          <w:p w14:paraId="42D9B3C8" w14:textId="77777777" w:rsidR="002C6D1A" w:rsidRDefault="00B40D42">
            <w:pPr>
              <w:spacing w:line="360" w:lineRule="auto"/>
              <w:jc w:val="both"/>
              <w:rPr>
                <w:sz w:val="22"/>
                <w:szCs w:val="22"/>
              </w:rPr>
            </w:pPr>
            <w:r>
              <w:rPr>
                <w:sz w:val="22"/>
                <w:szCs w:val="22"/>
              </w:rPr>
              <w:t>3.7. Projektų bendrasis stebėsenos rodiklis, taikomas projektui: „Naudą gaunantys asmenys (asmenų ska</w:t>
            </w:r>
            <w:r>
              <w:rPr>
                <w:sz w:val="22"/>
                <w:szCs w:val="22"/>
              </w:rPr>
              <w:t>ičius)“.  Rezultato rodiklio reikšmė nustatoma pagal vidutinį metų sąrašinį darbuotojų skaičių. Rezultato rodiklio pasiekimas įskaitomas pradedant nuo pirmojo paramos (kompensacijos)  išmokėjimo. Rezultato rodiklio reikšmės pasiekimas vertinamas projekto į</w:t>
            </w:r>
            <w:r>
              <w:rPr>
                <w:sz w:val="22"/>
                <w:szCs w:val="22"/>
              </w:rPr>
              <w:t xml:space="preserve">gyvendinimo pabaigoje, galutinė rezultato rodiklio pasiekimo reikšmė lygi tų metų (pradedant kalendoriniais metais, kai prasidėjo pirmasis Valdymo priemonių taikymo etapas, ir baigiant projekto veiklų vykdymo pabaigos metais) vidutiniam metiniam sąrašinių </w:t>
            </w:r>
            <w:r>
              <w:rPr>
                <w:sz w:val="22"/>
                <w:szCs w:val="22"/>
              </w:rPr>
              <w:t>darbuotojų skaičiui, kuriais jis buvo didžiausias.</w:t>
            </w:r>
          </w:p>
        </w:tc>
      </w:tr>
      <w:tr w:rsidR="002C6D1A" w14:paraId="4F36E965" w14:textId="77777777">
        <w:trPr>
          <w:trHeight w:val="893"/>
        </w:trPr>
        <w:tc>
          <w:tcPr>
            <w:tcW w:w="14709"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6"/>
              <w:gridCol w:w="1701"/>
              <w:gridCol w:w="2127"/>
              <w:gridCol w:w="3506"/>
            </w:tblGrid>
            <w:tr w:rsidR="002C6D1A" w14:paraId="10618DA7" w14:textId="77777777">
              <w:trPr>
                <w:trHeight w:val="403"/>
              </w:trPr>
              <w:tc>
                <w:tcPr>
                  <w:tcW w:w="7246" w:type="dxa"/>
                  <w:shd w:val="clear" w:color="auto" w:fill="auto"/>
                </w:tcPr>
                <w:p w14:paraId="18676961" w14:textId="77777777" w:rsidR="002C6D1A" w:rsidRDefault="00B40D42">
                  <w:pPr>
                    <w:rPr>
                      <w:b/>
                      <w:bCs/>
                      <w:sz w:val="22"/>
                      <w:szCs w:val="22"/>
                    </w:rPr>
                  </w:pPr>
                  <w:r>
                    <w:rPr>
                      <w:b/>
                      <w:bCs/>
                      <w:sz w:val="22"/>
                      <w:szCs w:val="22"/>
                    </w:rPr>
                    <w:t>Rodiklio pavadinimas  </w:t>
                  </w:r>
                </w:p>
              </w:tc>
              <w:tc>
                <w:tcPr>
                  <w:tcW w:w="1701" w:type="dxa"/>
                  <w:shd w:val="clear" w:color="auto" w:fill="auto"/>
                </w:tcPr>
                <w:p w14:paraId="524273FF" w14:textId="77777777" w:rsidR="002C6D1A" w:rsidRDefault="00B40D42">
                  <w:pPr>
                    <w:rPr>
                      <w:b/>
                      <w:bCs/>
                      <w:sz w:val="22"/>
                      <w:szCs w:val="22"/>
                    </w:rPr>
                  </w:pPr>
                  <w:r>
                    <w:rPr>
                      <w:b/>
                      <w:bCs/>
                      <w:sz w:val="22"/>
                      <w:szCs w:val="22"/>
                    </w:rPr>
                    <w:t>Rodiklio kodas </w:t>
                  </w:r>
                </w:p>
              </w:tc>
              <w:tc>
                <w:tcPr>
                  <w:tcW w:w="2127" w:type="dxa"/>
                  <w:shd w:val="clear" w:color="auto" w:fill="auto"/>
                </w:tcPr>
                <w:p w14:paraId="5A68DB98" w14:textId="77777777" w:rsidR="002C6D1A" w:rsidRDefault="00B40D42">
                  <w:pPr>
                    <w:rPr>
                      <w:b/>
                      <w:bCs/>
                      <w:sz w:val="22"/>
                      <w:szCs w:val="22"/>
                    </w:rPr>
                  </w:pPr>
                  <w:r>
                    <w:rPr>
                      <w:b/>
                      <w:bCs/>
                      <w:sz w:val="22"/>
                      <w:szCs w:val="22"/>
                    </w:rPr>
                    <w:t>Matavimo vienetai </w:t>
                  </w:r>
                </w:p>
              </w:tc>
              <w:tc>
                <w:tcPr>
                  <w:tcW w:w="3506" w:type="dxa"/>
                  <w:shd w:val="clear" w:color="auto" w:fill="auto"/>
                </w:tcPr>
                <w:p w14:paraId="03BD4DE2" w14:textId="77777777" w:rsidR="002C6D1A" w:rsidRDefault="00B40D42">
                  <w:pPr>
                    <w:rPr>
                      <w:b/>
                      <w:bCs/>
                      <w:sz w:val="22"/>
                      <w:szCs w:val="22"/>
                    </w:rPr>
                  </w:pPr>
                  <w:r>
                    <w:rPr>
                      <w:b/>
                      <w:bCs/>
                      <w:sz w:val="22"/>
                      <w:szCs w:val="22"/>
                    </w:rPr>
                    <w:t>Siektina reikšmė (priemonės lygiu)</w:t>
                  </w:r>
                </w:p>
              </w:tc>
            </w:tr>
            <w:tr w:rsidR="002C6D1A" w14:paraId="0666A730" w14:textId="77777777">
              <w:trPr>
                <w:trHeight w:val="318"/>
              </w:trPr>
              <w:tc>
                <w:tcPr>
                  <w:tcW w:w="7246" w:type="dxa"/>
                  <w:vAlign w:val="center"/>
                </w:tcPr>
                <w:p w14:paraId="0983FC24" w14:textId="77777777" w:rsidR="002C6D1A" w:rsidRDefault="00B40D42">
                  <w:pPr>
                    <w:rPr>
                      <w:sz w:val="22"/>
                      <w:szCs w:val="22"/>
                    </w:rPr>
                  </w:pPr>
                  <w:r>
                    <w:rPr>
                      <w:sz w:val="22"/>
                      <w:szCs w:val="22"/>
                    </w:rPr>
                    <w:t>Naudą gaunantys asmenys (asmenų skaičius), vnt.</w:t>
                  </w:r>
                </w:p>
              </w:tc>
              <w:tc>
                <w:tcPr>
                  <w:tcW w:w="1701" w:type="dxa"/>
                  <w:vAlign w:val="center"/>
                </w:tcPr>
                <w:p w14:paraId="276C9499" w14:textId="77777777" w:rsidR="002C6D1A" w:rsidRDefault="00B40D42">
                  <w:pPr>
                    <w:jc w:val="center"/>
                    <w:rPr>
                      <w:sz w:val="22"/>
                      <w:szCs w:val="22"/>
                      <w:lang w:val="en-US"/>
                    </w:rPr>
                  </w:pPr>
                  <w:r>
                    <w:rPr>
                      <w:sz w:val="22"/>
                      <w:szCs w:val="22"/>
                    </w:rPr>
                    <w:t>CR 0</w:t>
                  </w:r>
                  <w:r>
                    <w:rPr>
                      <w:sz w:val="22"/>
                      <w:szCs w:val="22"/>
                      <w:lang w:val="en-US"/>
                    </w:rPr>
                    <w:t>8</w:t>
                  </w:r>
                </w:p>
              </w:tc>
              <w:tc>
                <w:tcPr>
                  <w:tcW w:w="2127" w:type="dxa"/>
                  <w:vAlign w:val="center"/>
                </w:tcPr>
                <w:p w14:paraId="0B8D68CF" w14:textId="77777777" w:rsidR="002C6D1A" w:rsidRDefault="00B40D42">
                  <w:pPr>
                    <w:jc w:val="center"/>
                    <w:rPr>
                      <w:sz w:val="22"/>
                      <w:szCs w:val="22"/>
                    </w:rPr>
                  </w:pPr>
                  <w:r>
                    <w:rPr>
                      <w:sz w:val="22"/>
                      <w:szCs w:val="22"/>
                    </w:rPr>
                    <w:t>Vnt.</w:t>
                  </w:r>
                </w:p>
              </w:tc>
              <w:tc>
                <w:tcPr>
                  <w:tcW w:w="3506" w:type="dxa"/>
                  <w:vAlign w:val="center"/>
                </w:tcPr>
                <w:p w14:paraId="4AFA7BA8" w14:textId="77777777" w:rsidR="002C6D1A" w:rsidRDefault="00B40D42">
                  <w:pPr>
                    <w:jc w:val="center"/>
                    <w:rPr>
                      <w:sz w:val="22"/>
                      <w:szCs w:val="22"/>
                    </w:rPr>
                  </w:pPr>
                  <w:r>
                    <w:rPr>
                      <w:sz w:val="22"/>
                      <w:szCs w:val="22"/>
                    </w:rPr>
                    <w:t>83</w:t>
                  </w:r>
                </w:p>
              </w:tc>
            </w:tr>
          </w:tbl>
          <w:p w14:paraId="2B289708" w14:textId="77777777" w:rsidR="002C6D1A" w:rsidRDefault="002C6D1A">
            <w:pPr>
              <w:rPr>
                <w:sz w:val="22"/>
                <w:szCs w:val="22"/>
              </w:rPr>
            </w:pPr>
          </w:p>
        </w:tc>
      </w:tr>
      <w:tr w:rsidR="002C6D1A" w14:paraId="2D969E6F" w14:textId="77777777">
        <w:trPr>
          <w:trHeight w:val="285"/>
        </w:trPr>
        <w:tc>
          <w:tcPr>
            <w:tcW w:w="14709" w:type="dxa"/>
          </w:tcPr>
          <w:p w14:paraId="08A49938" w14:textId="77777777" w:rsidR="002C6D1A" w:rsidRDefault="00B40D42">
            <w:pPr>
              <w:rPr>
                <w:sz w:val="22"/>
                <w:szCs w:val="22"/>
              </w:rPr>
            </w:pPr>
            <w:r>
              <w:rPr>
                <w:b/>
                <w:sz w:val="22"/>
                <w:szCs w:val="22"/>
              </w:rPr>
              <w:t xml:space="preserve">4. Horizontaliųjų principų (toliau – HP) ir </w:t>
            </w:r>
            <w:r>
              <w:rPr>
                <w:b/>
                <w:sz w:val="22"/>
                <w:szCs w:val="22"/>
              </w:rPr>
              <w:t>su jais susijusių Europos Sąjungos pagrindinių teisių chartijos (toliau – Chartija) nuostatų laikymosi reikalavimai</w:t>
            </w:r>
          </w:p>
        </w:tc>
      </w:tr>
      <w:tr w:rsidR="002C6D1A" w14:paraId="327E5D4C" w14:textId="77777777">
        <w:tc>
          <w:tcPr>
            <w:tcW w:w="14709" w:type="dxa"/>
          </w:tcPr>
          <w:p w14:paraId="0648DECC" w14:textId="77777777" w:rsidR="002C6D1A" w:rsidRDefault="00B40D42">
            <w:pPr>
              <w:spacing w:line="360" w:lineRule="auto"/>
              <w:jc w:val="both"/>
              <w:rPr>
                <w:sz w:val="22"/>
                <w:szCs w:val="22"/>
              </w:rPr>
            </w:pPr>
            <w:r>
              <w:rPr>
                <w:sz w:val="22"/>
                <w:szCs w:val="22"/>
              </w:rPr>
              <w:t>4.1. Priemonės įgyvendinimas nedaro tiesioginio poveikio Chartijos nuostatoms. Projekto įgyvendinimo metu neturi būti pažeidžiamos Chartijoje nustatytų pagrindinių teisių nuostatos: orumo; asmenų, privataus ir šeimos gyvenimo, sąžinės ir saviraiškos laisvė</w:t>
            </w:r>
            <w:r>
              <w:rPr>
                <w:sz w:val="22"/>
                <w:szCs w:val="22"/>
              </w:rPr>
              <w:t>s; asmens duomenų; prieglobsčio ir apsaugos perkėlimo, išsiuntimo ar išdavimo atvejų; teisių į nuosavybę ir teisių užsiimti verslu; lyčių lygybės, vienodo požiūrio ir lygių galimybių, nediskriminavimo ir neįgaliųjų teisių; vaiko teisių; gero administravimo</w:t>
            </w:r>
            <w:r>
              <w:rPr>
                <w:sz w:val="22"/>
                <w:szCs w:val="22"/>
              </w:rPr>
              <w:t xml:space="preserve">, veiksmingo teisinės gynybos, teisingumo; solidarumo ir darbuotojų teisių; aplinkos apsaugos. </w:t>
            </w:r>
          </w:p>
          <w:p w14:paraId="3497DCC0" w14:textId="77777777" w:rsidR="002C6D1A" w:rsidRDefault="00B40D42">
            <w:pPr>
              <w:spacing w:line="360" w:lineRule="auto"/>
              <w:jc w:val="both"/>
              <w:rPr>
                <w:sz w:val="22"/>
                <w:szCs w:val="22"/>
              </w:rPr>
            </w:pPr>
            <w:r>
              <w:rPr>
                <w:sz w:val="22"/>
                <w:szCs w:val="22"/>
              </w:rPr>
              <w:t xml:space="preserve">4.2. Projekto įgyvendinimo metu neturi būti pažeidžiami HP: </w:t>
            </w:r>
            <w:r>
              <w:rPr>
                <w:b/>
                <w:bCs/>
                <w:sz w:val="22"/>
                <w:szCs w:val="22"/>
              </w:rPr>
              <w:t>darnaus vystymosi</w:t>
            </w:r>
            <w:r>
              <w:rPr>
                <w:sz w:val="22"/>
                <w:szCs w:val="22"/>
              </w:rPr>
              <w:t xml:space="preserve">, įskaitant reikšmingos žalos nedarymo principą, </w:t>
            </w:r>
            <w:r>
              <w:rPr>
                <w:b/>
                <w:bCs/>
                <w:sz w:val="22"/>
                <w:szCs w:val="22"/>
              </w:rPr>
              <w:t>lygių galimybių ir nediskriminavim</w:t>
            </w:r>
            <w:r>
              <w:rPr>
                <w:b/>
                <w:bCs/>
                <w:sz w:val="22"/>
                <w:szCs w:val="22"/>
              </w:rPr>
              <w:t>o</w:t>
            </w:r>
            <w:r>
              <w:rPr>
                <w:sz w:val="22"/>
                <w:szCs w:val="22"/>
              </w:rPr>
              <w:t xml:space="preserve"> (dėl lyties, rasės, tautybės, pilietybės, kalbos, kilmės, socialinės padėties, tikėjimo, įsitikinimų ar pažiūrų, amžiaus, lytinės orientacijos, etninės priklausomybės, religijos, negalios ar kt.), įskaitant prieinamumo visiems reikalavimo užtikrinimą.</w:t>
            </w:r>
          </w:p>
          <w:p w14:paraId="40FC84C5" w14:textId="77777777" w:rsidR="002C6D1A" w:rsidRDefault="00B40D42">
            <w:pPr>
              <w:spacing w:line="360" w:lineRule="auto"/>
              <w:jc w:val="both"/>
              <w:rPr>
                <w:sz w:val="22"/>
                <w:szCs w:val="22"/>
              </w:rPr>
            </w:pPr>
            <w:r>
              <w:rPr>
                <w:sz w:val="22"/>
                <w:szCs w:val="22"/>
              </w:rPr>
              <w:t>4.</w:t>
            </w:r>
            <w:r>
              <w:rPr>
                <w:sz w:val="22"/>
                <w:szCs w:val="22"/>
              </w:rPr>
              <w:t xml:space="preserve">3. Pagal Aprašą įgyvendinami projektai tiesiogiai (projekto tikslas, tikslinė grupė, projekto veikla, paramos gavėjai, rodikliai, siekiami rezultatai) neprisideda prie HP įgyvendinimo. </w:t>
            </w:r>
          </w:p>
        </w:tc>
      </w:tr>
      <w:tr w:rsidR="002C6D1A" w14:paraId="5D7E6B19" w14:textId="77777777">
        <w:tc>
          <w:tcPr>
            <w:tcW w:w="14709" w:type="dxa"/>
          </w:tcPr>
          <w:p w14:paraId="34CDFD62" w14:textId="77777777" w:rsidR="002C6D1A" w:rsidRDefault="00B40D42">
            <w:pPr>
              <w:spacing w:line="360" w:lineRule="auto"/>
              <w:jc w:val="both"/>
              <w:rPr>
                <w:b/>
                <w:sz w:val="22"/>
                <w:szCs w:val="22"/>
              </w:rPr>
            </w:pPr>
            <w:r>
              <w:rPr>
                <w:b/>
                <w:sz w:val="22"/>
                <w:szCs w:val="22"/>
              </w:rPr>
              <w:t>5. Reikalavimai teikiant valstybės pagalbą arba nereikšmingą (</w:t>
            </w:r>
            <w:r>
              <w:rPr>
                <w:b/>
                <w:i/>
                <w:iCs/>
                <w:sz w:val="22"/>
                <w:szCs w:val="22"/>
              </w:rPr>
              <w:t xml:space="preserve">de </w:t>
            </w:r>
            <w:proofErr w:type="spellStart"/>
            <w:r>
              <w:rPr>
                <w:b/>
                <w:i/>
                <w:iCs/>
                <w:sz w:val="22"/>
                <w:szCs w:val="22"/>
              </w:rPr>
              <w:t>mini</w:t>
            </w:r>
            <w:r>
              <w:rPr>
                <w:b/>
                <w:i/>
                <w:iCs/>
                <w:sz w:val="22"/>
                <w:szCs w:val="22"/>
              </w:rPr>
              <w:t>mis</w:t>
            </w:r>
            <w:proofErr w:type="spellEnd"/>
            <w:r>
              <w:rPr>
                <w:b/>
                <w:sz w:val="22"/>
                <w:szCs w:val="22"/>
              </w:rPr>
              <w:t xml:space="preserve">) pagalbą </w:t>
            </w:r>
          </w:p>
        </w:tc>
      </w:tr>
      <w:tr w:rsidR="002C6D1A" w14:paraId="78F44B4F" w14:textId="77777777">
        <w:tc>
          <w:tcPr>
            <w:tcW w:w="14709" w:type="dxa"/>
          </w:tcPr>
          <w:p w14:paraId="55DF7765" w14:textId="77777777" w:rsidR="002C6D1A" w:rsidRDefault="00B40D42">
            <w:pPr>
              <w:spacing w:line="360" w:lineRule="auto"/>
              <w:jc w:val="both"/>
              <w:rPr>
                <w:i/>
                <w:iCs/>
                <w:sz w:val="22"/>
                <w:szCs w:val="22"/>
              </w:rPr>
            </w:pPr>
            <w:r>
              <w:rPr>
                <w:sz w:val="22"/>
                <w:szCs w:val="22"/>
              </w:rPr>
              <w:t>Valstybės pagalba, kaip ji apibrėžta Sutarties dėl Europos Sąjungos veikimo 107 straipsnyje, neteikiama.</w:t>
            </w:r>
          </w:p>
        </w:tc>
      </w:tr>
      <w:tr w:rsidR="002C6D1A" w14:paraId="69A8C1F0" w14:textId="77777777">
        <w:tc>
          <w:tcPr>
            <w:tcW w:w="14709" w:type="dxa"/>
          </w:tcPr>
          <w:p w14:paraId="4EFA0BEF" w14:textId="77777777" w:rsidR="002C6D1A" w:rsidRDefault="00B40D42">
            <w:pPr>
              <w:spacing w:line="360" w:lineRule="auto"/>
              <w:jc w:val="both"/>
              <w:rPr>
                <w:i/>
                <w:sz w:val="22"/>
                <w:szCs w:val="22"/>
              </w:rPr>
            </w:pPr>
            <w:r>
              <w:rPr>
                <w:b/>
                <w:sz w:val="22"/>
                <w:szCs w:val="22"/>
              </w:rPr>
              <w:t>6. Projektų atrankos kriterijai</w:t>
            </w:r>
          </w:p>
        </w:tc>
      </w:tr>
      <w:tr w:rsidR="002C6D1A" w14:paraId="497849ED" w14:textId="77777777">
        <w:tc>
          <w:tcPr>
            <w:tcW w:w="14709" w:type="dxa"/>
          </w:tcPr>
          <w:p w14:paraId="0A250688" w14:textId="77777777" w:rsidR="002C6D1A" w:rsidRDefault="00B40D42">
            <w:pPr>
              <w:spacing w:line="360" w:lineRule="auto"/>
              <w:rPr>
                <w:b/>
                <w:sz w:val="22"/>
                <w:szCs w:val="22"/>
              </w:rPr>
            </w:pPr>
            <w:r>
              <w:rPr>
                <w:iCs/>
                <w:sz w:val="22"/>
                <w:szCs w:val="22"/>
              </w:rPr>
              <w:t>Projektas turi atitikti bendruosius projektų atrankos kriterijus, nustatytus PFAT 3 priede, išskyrus 1</w:t>
            </w:r>
            <w:r>
              <w:rPr>
                <w:iCs/>
                <w:sz w:val="22"/>
                <w:szCs w:val="22"/>
              </w:rPr>
              <w:t>, 6, 8 punktuose ir 2.3, 3.2.9, 3.2.10, 3.3, 3.4, 3.5, 3.6, 5.1, 5.2 ir 7.2 papunkčiuose nustatytus bendruosius projektų atrankos kriterijus ir (ar) vertinimo aspektus.</w:t>
            </w:r>
          </w:p>
        </w:tc>
      </w:tr>
      <w:tr w:rsidR="002C6D1A" w14:paraId="1D1ACC0B" w14:textId="77777777">
        <w:tc>
          <w:tcPr>
            <w:tcW w:w="14709" w:type="dxa"/>
          </w:tcPr>
          <w:p w14:paraId="26B8DD9E" w14:textId="77777777" w:rsidR="002C6D1A" w:rsidRDefault="00B40D42">
            <w:pPr>
              <w:spacing w:line="360" w:lineRule="auto"/>
              <w:rPr>
                <w:b/>
                <w:sz w:val="22"/>
                <w:szCs w:val="22"/>
              </w:rPr>
            </w:pPr>
            <w:r>
              <w:rPr>
                <w:b/>
                <w:sz w:val="22"/>
                <w:szCs w:val="22"/>
              </w:rPr>
              <w:t xml:space="preserve">7. Reikalavimai įgyvendinus projekto veiklą </w:t>
            </w:r>
          </w:p>
        </w:tc>
      </w:tr>
      <w:tr w:rsidR="002C6D1A" w14:paraId="6ABAEBE4" w14:textId="77777777">
        <w:tc>
          <w:tcPr>
            <w:tcW w:w="14709" w:type="dxa"/>
          </w:tcPr>
          <w:p w14:paraId="28128D13" w14:textId="77777777" w:rsidR="002C6D1A" w:rsidRDefault="00B40D42">
            <w:pPr>
              <w:spacing w:line="360" w:lineRule="auto"/>
              <w:jc w:val="both"/>
              <w:rPr>
                <w:iCs/>
                <w:sz w:val="22"/>
                <w:szCs w:val="22"/>
              </w:rPr>
            </w:pPr>
            <w:r>
              <w:rPr>
                <w:sz w:val="22"/>
                <w:szCs w:val="22"/>
              </w:rPr>
              <w:t>Tęstinumo laikotarpis (reikalavimai) net</w:t>
            </w:r>
            <w:r>
              <w:rPr>
                <w:sz w:val="22"/>
                <w:szCs w:val="22"/>
              </w:rPr>
              <w:t xml:space="preserve">aikomas. </w:t>
            </w:r>
          </w:p>
        </w:tc>
      </w:tr>
      <w:tr w:rsidR="002C6D1A" w14:paraId="17F1BED6" w14:textId="77777777">
        <w:tc>
          <w:tcPr>
            <w:tcW w:w="14709" w:type="dxa"/>
          </w:tcPr>
          <w:p w14:paraId="1FF86970" w14:textId="77777777" w:rsidR="002C6D1A" w:rsidRDefault="00B40D42">
            <w:pPr>
              <w:spacing w:line="360" w:lineRule="auto"/>
              <w:rPr>
                <w:sz w:val="22"/>
                <w:szCs w:val="22"/>
              </w:rPr>
            </w:pPr>
            <w:r>
              <w:rPr>
                <w:b/>
                <w:sz w:val="22"/>
                <w:szCs w:val="22"/>
              </w:rPr>
              <w:t>8. Kiti reikalavimai</w:t>
            </w:r>
          </w:p>
        </w:tc>
      </w:tr>
      <w:tr w:rsidR="002C6D1A" w14:paraId="3B04434B" w14:textId="77777777">
        <w:tc>
          <w:tcPr>
            <w:tcW w:w="14709" w:type="dxa"/>
          </w:tcPr>
          <w:p w14:paraId="3032E6B8" w14:textId="77777777" w:rsidR="002C6D1A" w:rsidRDefault="00B40D42">
            <w:pPr>
              <w:tabs>
                <w:tab w:val="left" w:pos="1134"/>
              </w:tabs>
              <w:spacing w:line="360" w:lineRule="auto"/>
              <w:jc w:val="both"/>
              <w:rPr>
                <w:iCs/>
                <w:sz w:val="22"/>
                <w:szCs w:val="22"/>
              </w:rPr>
            </w:pPr>
            <w:r>
              <w:rPr>
                <w:iCs/>
                <w:sz w:val="22"/>
                <w:szCs w:val="22"/>
              </w:rPr>
              <w:t>8.1. PSK teikiamas, administruojamas ir įgyvendinamas laikantis PFAT nustatytų reikalavimų ir tvarkos. PSK forma patvirtinta Aprašo 1 priede.</w:t>
            </w:r>
          </w:p>
          <w:p w14:paraId="2BC9E58E" w14:textId="77777777" w:rsidR="002C6D1A" w:rsidRDefault="00B40D42">
            <w:pPr>
              <w:tabs>
                <w:tab w:val="left" w:pos="1134"/>
              </w:tabs>
              <w:spacing w:line="360" w:lineRule="auto"/>
              <w:jc w:val="both"/>
              <w:rPr>
                <w:rFonts w:eastAsia="Calibri"/>
                <w:sz w:val="22"/>
                <w:szCs w:val="22"/>
              </w:rPr>
            </w:pPr>
            <w:r>
              <w:rPr>
                <w:iCs/>
                <w:sz w:val="22"/>
                <w:szCs w:val="22"/>
              </w:rPr>
              <w:t xml:space="preserve">8.2. Sprendimus dėl kompensacijų skyrimo priima Nacionalinės mokėjimo agentūros </w:t>
            </w:r>
            <w:r>
              <w:rPr>
                <w:iCs/>
                <w:sz w:val="22"/>
                <w:szCs w:val="22"/>
              </w:rPr>
              <w:t>prie Žemės ūkio ministerijos (toliau – Agentūra) direktorius arba jo įgaliotas asmuo Agentūros nustatyta sprendimų dėl projektų finansavimo priėmimo tvarka</w:t>
            </w:r>
            <w:r>
              <w:rPr>
                <w:rFonts w:eastAsia="Calibri"/>
                <w:sz w:val="22"/>
                <w:szCs w:val="22"/>
              </w:rPr>
              <w:t>. Sprendime dėl kompensacijų skyrimo didžiausia PSK skiriamos paramos suma nenustatoma.</w:t>
            </w:r>
          </w:p>
          <w:p w14:paraId="7B7841B6" w14:textId="77777777" w:rsidR="002C6D1A" w:rsidRDefault="00B40D42">
            <w:pPr>
              <w:tabs>
                <w:tab w:val="left" w:pos="1134"/>
              </w:tabs>
              <w:spacing w:line="360" w:lineRule="auto"/>
              <w:jc w:val="both"/>
              <w:rPr>
                <w:rFonts w:eastAsia="Calibri"/>
                <w:sz w:val="22"/>
                <w:szCs w:val="22"/>
              </w:rPr>
            </w:pPr>
            <w:r>
              <w:rPr>
                <w:rFonts w:eastAsia="Calibri"/>
                <w:sz w:val="22"/>
                <w:szCs w:val="22"/>
              </w:rPr>
              <w:t xml:space="preserve">8.3. Priėmus </w:t>
            </w:r>
            <w:r>
              <w:rPr>
                <w:rFonts w:eastAsia="Calibri"/>
                <w:sz w:val="22"/>
                <w:szCs w:val="22"/>
              </w:rPr>
              <w:t>sprendimą dėl kompensacijų skyrimo, sudaroma kompensacijos skyrimo sutartis (forma pateikiama Aprašo 2 priede) neviršijant Aprašo 3.6 papunktyje nustatyto galimo projekto veiklos vykdymo laikotarpio. Po kompensacijos skyrimo sutarties pasirašymo gali būti:</w:t>
            </w:r>
          </w:p>
          <w:p w14:paraId="4F7DEE1C" w14:textId="77777777" w:rsidR="002C6D1A" w:rsidRDefault="00B40D42">
            <w:pPr>
              <w:tabs>
                <w:tab w:val="left" w:pos="1134"/>
              </w:tabs>
              <w:spacing w:line="360" w:lineRule="auto"/>
              <w:jc w:val="both"/>
              <w:rPr>
                <w:rFonts w:eastAsia="Calibri"/>
                <w:sz w:val="22"/>
                <w:szCs w:val="22"/>
              </w:rPr>
            </w:pPr>
            <w:r>
              <w:rPr>
                <w:rFonts w:eastAsia="Calibri"/>
                <w:sz w:val="22"/>
                <w:szCs w:val="22"/>
              </w:rPr>
              <w:t>8.3.1. paramos gavėjo prašymu keičiama projekto veiklų vykdymo pabaigos data (pratęsiamas projekto veiklų vykdymo laikotarpis, neviršijant Aprašo 3.6 papunktyje nustatyto galimo projekto veiklos vykdymo laikotarpio, arba sutrumpinamas), taip pat numatomos</w:t>
            </w:r>
            <w:r>
              <w:rPr>
                <w:rFonts w:eastAsia="Calibri"/>
                <w:sz w:val="22"/>
                <w:szCs w:val="22"/>
              </w:rPr>
              <w:t xml:space="preserve"> taikyti Valdymo priemonės.</w:t>
            </w:r>
          </w:p>
          <w:p w14:paraId="2D247FEA" w14:textId="77777777" w:rsidR="002C6D1A" w:rsidRDefault="00B40D42">
            <w:pPr>
              <w:tabs>
                <w:tab w:val="left" w:pos="1134"/>
              </w:tabs>
              <w:spacing w:line="360" w:lineRule="auto"/>
              <w:jc w:val="both"/>
              <w:rPr>
                <w:rFonts w:eastAsia="Calibri"/>
                <w:sz w:val="22"/>
                <w:szCs w:val="22"/>
              </w:rPr>
            </w:pPr>
            <w:r>
              <w:rPr>
                <w:rFonts w:eastAsia="Calibri"/>
                <w:sz w:val="22"/>
                <w:szCs w:val="22"/>
              </w:rPr>
              <w:t>8.3.2. Agentūros sprendimu sutrumpinamas projekto veiklų vykdymo laikotarpis, jei paramos gavėjas daugiau nei 60 dienų vėluoja pateikti veiklos ataskaitą Aprašo 8.4 papunktyje nurodyta tvarka, arba paramos gavėjas nustojo vykdyt</w:t>
            </w:r>
            <w:r>
              <w:rPr>
                <w:rFonts w:eastAsia="Calibri"/>
                <w:sz w:val="22"/>
                <w:szCs w:val="22"/>
              </w:rPr>
              <w:t>i verslinę žvejybą Baltijos jūros priekrantės žvejybos zonoje, t. y. nebeturi  perleidžiamosios teisės naudoti verslinės žvejybos įrankius priekrantės žvejybai. Projekto veiklų vykdymo laikotarpis sutrumpinamas iki paskutinio Valdymo priemonių taikymo etap</w:t>
            </w:r>
            <w:r>
              <w:rPr>
                <w:rFonts w:eastAsia="Calibri"/>
                <w:sz w:val="22"/>
                <w:szCs w:val="22"/>
              </w:rPr>
              <w:t xml:space="preserve">o, už kurį buvo pateikta tinkama veiklos ataskaita Aprašo 8.4 papunktyje nustatyta tvarka, pabaigos. </w:t>
            </w:r>
          </w:p>
          <w:p w14:paraId="6C4C0261" w14:textId="502B370B" w:rsidR="002C6D1A" w:rsidRDefault="00B40D42">
            <w:pPr>
              <w:tabs>
                <w:tab w:val="left" w:pos="1134"/>
              </w:tabs>
              <w:spacing w:line="360" w:lineRule="auto"/>
              <w:jc w:val="both"/>
              <w:rPr>
                <w:iCs/>
                <w:sz w:val="22"/>
                <w:szCs w:val="22"/>
              </w:rPr>
            </w:pPr>
            <w:r>
              <w:rPr>
                <w:iCs/>
                <w:sz w:val="22"/>
                <w:szCs w:val="22"/>
              </w:rPr>
              <w:t>8.4. Atsižvelgiant į Priemonės specifiką, veiklos ataskaitų teikimui PFAT 122–124 punktuose nustatyti terminai netaikomi. Veiklos ataskaita turi būti teik</w:t>
            </w:r>
            <w:r>
              <w:rPr>
                <w:iCs/>
                <w:sz w:val="22"/>
                <w:szCs w:val="22"/>
              </w:rPr>
              <w:t>iama už Valdymo priemonių taikymo etapą, per 30 dienų nuo jo pabaigos (forma pateikiama Aprašo 3 priede). Kompensacija už konkretų Valdymo priemonių taikymo etapą negali būti išmokama, kol nepateikta veiklos ataskaita. Veiklos ataskaita, pateikta už galuti</w:t>
            </w:r>
            <w:r>
              <w:rPr>
                <w:iCs/>
                <w:sz w:val="22"/>
                <w:szCs w:val="22"/>
              </w:rPr>
              <w:t>nį Valdymo priemonių taikymo etapą, yra galutinė veiklos vykdymo ataskaita.</w:t>
            </w:r>
          </w:p>
        </w:tc>
      </w:tr>
      <w:tr w:rsidR="002C6D1A" w14:paraId="7BBCF9AF" w14:textId="77777777">
        <w:tc>
          <w:tcPr>
            <w:tcW w:w="14709" w:type="dxa"/>
          </w:tcPr>
          <w:p w14:paraId="2D96580F" w14:textId="77777777" w:rsidR="002C6D1A" w:rsidRDefault="00B40D42">
            <w:pPr>
              <w:jc w:val="both"/>
              <w:rPr>
                <w:b/>
                <w:sz w:val="22"/>
                <w:szCs w:val="22"/>
              </w:rPr>
            </w:pPr>
            <w:r>
              <w:rPr>
                <w:b/>
                <w:sz w:val="22"/>
                <w:szCs w:val="22"/>
              </w:rPr>
              <w:t>9. Paramos išmokėjimo tvarka</w:t>
            </w:r>
          </w:p>
        </w:tc>
      </w:tr>
      <w:tr w:rsidR="002C6D1A" w14:paraId="1B777645" w14:textId="77777777">
        <w:tc>
          <w:tcPr>
            <w:tcW w:w="14709" w:type="dxa"/>
          </w:tcPr>
          <w:p w14:paraId="1BC39E4B" w14:textId="77777777" w:rsidR="002C6D1A" w:rsidRDefault="00B40D42">
            <w:pPr>
              <w:spacing w:line="360" w:lineRule="auto"/>
              <w:jc w:val="both"/>
              <w:rPr>
                <w:sz w:val="22"/>
                <w:szCs w:val="22"/>
              </w:rPr>
            </w:pPr>
            <w:r>
              <w:rPr>
                <w:sz w:val="22"/>
                <w:szCs w:val="22"/>
              </w:rPr>
              <w:t xml:space="preserve">9.1. Kompensacijos pagal Aprašą skiriamos už pagal Aprašą finansuojamos  projekto veiklos vykdymą – Valdymo priemonių taikymą. </w:t>
            </w:r>
          </w:p>
          <w:p w14:paraId="3A9C767E" w14:textId="386ED249" w:rsidR="002C6D1A" w:rsidRDefault="00B40D42">
            <w:pPr>
              <w:spacing w:line="360" w:lineRule="auto"/>
              <w:jc w:val="both"/>
              <w:rPr>
                <w:sz w:val="22"/>
                <w:szCs w:val="22"/>
              </w:rPr>
            </w:pPr>
            <w:r>
              <w:rPr>
                <w:sz w:val="22"/>
                <w:szCs w:val="22"/>
              </w:rPr>
              <w:t>9.2. Mokėjimo prašyma</w:t>
            </w:r>
            <w:r>
              <w:rPr>
                <w:sz w:val="22"/>
                <w:szCs w:val="22"/>
              </w:rPr>
              <w:t>i pagal Priemonę neteikiami. Kompensacijos išmokamos už kiekvieną Valdymo priemonių taikymo etapą. Agentūra, gavusi tinkamą (parengtą ir pateiktą Aprašo 8.4 papunktyje nurodyta tvarka) veiklos ataskaitą, per 20 darbo dienų apskaičiuoja kompensacijos už Val</w:t>
            </w:r>
            <w:r>
              <w:rPr>
                <w:sz w:val="22"/>
                <w:szCs w:val="22"/>
              </w:rPr>
              <w:t xml:space="preserve">dymo priemonių taikymo etapą dydį ir inicijuoja jo išmokėjimą PFAT nustatyta tvarka.  </w:t>
            </w:r>
          </w:p>
          <w:p w14:paraId="1F7A920C" w14:textId="77777777" w:rsidR="002C6D1A" w:rsidRDefault="00B40D42">
            <w:pPr>
              <w:spacing w:line="360" w:lineRule="auto"/>
              <w:jc w:val="both"/>
              <w:rPr>
                <w:rFonts w:eastAsia="Calibri"/>
                <w:sz w:val="22"/>
                <w:szCs w:val="22"/>
              </w:rPr>
            </w:pPr>
            <w:r>
              <w:rPr>
                <w:color w:val="000000"/>
                <w:sz w:val="22"/>
                <w:szCs w:val="22"/>
                <w:lang w:eastAsia="lt-LT"/>
              </w:rPr>
              <w:t xml:space="preserve">9.3. </w:t>
            </w:r>
            <w:r>
              <w:rPr>
                <w:sz w:val="22"/>
                <w:szCs w:val="22"/>
                <w:lang w:eastAsia="lt-LT"/>
              </w:rPr>
              <w:t>Kompensacijos dydis Aprašo 3.2 papunktyje nurodytą Valdymo priemonę vykdantiems paramos gavėjams apskaičiuojamas</w:t>
            </w:r>
            <w:r>
              <w:rPr>
                <w:rFonts w:eastAsia="Calibri"/>
                <w:sz w:val="22"/>
                <w:szCs w:val="22"/>
              </w:rPr>
              <w:t xml:space="preserve"> atsižvelgiant:</w:t>
            </w:r>
          </w:p>
          <w:p w14:paraId="3C419AC5" w14:textId="77777777" w:rsidR="002C6D1A" w:rsidRDefault="00B40D42">
            <w:pPr>
              <w:spacing w:line="360" w:lineRule="auto"/>
              <w:jc w:val="both"/>
              <w:rPr>
                <w:sz w:val="22"/>
                <w:szCs w:val="22"/>
              </w:rPr>
            </w:pPr>
            <w:r>
              <w:rPr>
                <w:rFonts w:eastAsia="Calibri"/>
                <w:sz w:val="22"/>
                <w:szCs w:val="22"/>
              </w:rPr>
              <w:t>9.3.1. į vidutinę laikotarpio žvejyb</w:t>
            </w:r>
            <w:r>
              <w:rPr>
                <w:rFonts w:eastAsia="Calibri"/>
                <w:sz w:val="22"/>
                <w:szCs w:val="22"/>
              </w:rPr>
              <w:t xml:space="preserve">os trukmę. </w:t>
            </w:r>
            <w:r>
              <w:rPr>
                <w:sz w:val="22"/>
                <w:szCs w:val="22"/>
              </w:rPr>
              <w:t>Vidurkis skaičiuojamas iš trijų laikotarpių (lapkričio–kovo mėn.) duomenų, pavyzdžiui, kai kompensacija skaičiuojama už laikino žvejybos ribojimo laikotarpį – 2024-11-01–2025-03-31, tuomet vidutinė žvejybos laikotarpių trukmė apskaičiuojama iš 2</w:t>
            </w:r>
            <w:r>
              <w:rPr>
                <w:sz w:val="22"/>
                <w:szCs w:val="22"/>
              </w:rPr>
              <w:t>021-11-01–2022-03-31, 2022-11-01–2023-03-31 ir 2023-11-01–2024-03-31 laikotarpių, tačiau jei įmonė vienu iš laikotarpių nežvejojo, pavyzdžiui, 2021–2022 m. žvejojo 100 val., 2022–2023 m. – 200 val., 2023–2024 m. – 0 val., vidurkis apskaičiuojamas iš dviejų</w:t>
            </w:r>
            <w:r>
              <w:rPr>
                <w:sz w:val="22"/>
                <w:szCs w:val="22"/>
              </w:rPr>
              <w:t xml:space="preserve"> žvejybos laikotarpių duomenų, ir gaunama 150 val. vidutinė žvejybos laikotarpio trukmė bei taikoma 2-osios grupės (</w:t>
            </w:r>
            <w:r>
              <w:rPr>
                <w:sz w:val="22"/>
                <w:szCs w:val="22"/>
                <w:lang w:eastAsia="lt-LT"/>
              </w:rPr>
              <w:t xml:space="preserve">nuo 39 val. iki 208 val.) </w:t>
            </w:r>
            <w:r>
              <w:rPr>
                <w:sz w:val="22"/>
                <w:szCs w:val="22"/>
              </w:rPr>
              <w:t>fiksuotoji suma FS</w:t>
            </w:r>
            <w:r>
              <w:rPr>
                <w:sz w:val="22"/>
                <w:szCs w:val="22"/>
                <w:vertAlign w:val="subscript"/>
              </w:rPr>
              <w:t>2</w:t>
            </w:r>
            <w:r>
              <w:rPr>
                <w:sz w:val="22"/>
                <w:szCs w:val="22"/>
              </w:rPr>
              <w:t xml:space="preserve"> – 569,84 </w:t>
            </w:r>
            <w:proofErr w:type="spellStart"/>
            <w:r>
              <w:rPr>
                <w:sz w:val="22"/>
                <w:szCs w:val="22"/>
              </w:rPr>
              <w:t>Eur</w:t>
            </w:r>
            <w:proofErr w:type="spellEnd"/>
            <w:r>
              <w:rPr>
                <w:sz w:val="22"/>
                <w:szCs w:val="22"/>
              </w:rPr>
              <w:t xml:space="preserve"> be PVM arba 689,51 </w:t>
            </w:r>
            <w:proofErr w:type="spellStart"/>
            <w:r>
              <w:rPr>
                <w:sz w:val="22"/>
                <w:szCs w:val="22"/>
              </w:rPr>
              <w:t>Eur</w:t>
            </w:r>
            <w:proofErr w:type="spellEnd"/>
            <w:r>
              <w:rPr>
                <w:sz w:val="22"/>
                <w:szCs w:val="22"/>
              </w:rPr>
              <w:t xml:space="preserve"> su PVM (priklausomai nuo PVM tinkamumo). </w:t>
            </w:r>
          </w:p>
          <w:p w14:paraId="3BDB4B30" w14:textId="77777777" w:rsidR="002C6D1A" w:rsidRDefault="00B40D42">
            <w:pPr>
              <w:spacing w:line="360" w:lineRule="auto"/>
              <w:jc w:val="both"/>
              <w:rPr>
                <w:sz w:val="22"/>
                <w:szCs w:val="22"/>
                <w:lang w:eastAsia="lt-LT"/>
              </w:rPr>
            </w:pPr>
            <w:r>
              <w:rPr>
                <w:sz w:val="22"/>
                <w:szCs w:val="22"/>
              </w:rPr>
              <w:t xml:space="preserve">Žvejybos trukmė </w:t>
            </w:r>
            <w:r>
              <w:rPr>
                <w:sz w:val="22"/>
                <w:szCs w:val="22"/>
              </w:rPr>
              <w:t xml:space="preserve">valandomis apskaičiuojama tokiu principu: jeigu įmonė tuo pačiu metu, pvz., 2021-02-04 žvejojo 17 val. ir sugavo „HER – Atlantinę silkę“ 70 kg bei 2021-02-04 žvejojo 17 val. ir sugavo „SME – Stintą europinę“ 0 kg., valandos sumuojamos ir apskaičiuojama iš </w:t>
            </w:r>
            <w:r>
              <w:rPr>
                <w:sz w:val="22"/>
                <w:szCs w:val="22"/>
              </w:rPr>
              <w:t>viso 17+17=34 val. Apskaičiuojama visų žvejybos žurnaluose deklaruotų žvejotų valandų suma 2021-11-01–2022-03-31 laikotarpiui iš viso. Atitinkamai, atskirai apskaičiuojamos 2022–2023 m. ir 2023–2024 m. laikotarpių žvejybos trukmės lapkričio–kovo mėnesiais;</w:t>
            </w:r>
          </w:p>
          <w:p w14:paraId="66E03F2F" w14:textId="77777777" w:rsidR="002C6D1A" w:rsidRDefault="00B40D42">
            <w:pPr>
              <w:spacing w:line="360" w:lineRule="auto"/>
              <w:jc w:val="both"/>
              <w:rPr>
                <w:sz w:val="22"/>
                <w:szCs w:val="22"/>
                <w:lang w:eastAsia="lt-LT"/>
              </w:rPr>
            </w:pPr>
            <w:r>
              <w:rPr>
                <w:sz w:val="22"/>
                <w:szCs w:val="22"/>
                <w:lang w:eastAsia="lt-LT"/>
              </w:rPr>
              <w:t>9.3.2. į tai, į kurios grupės valandų intervalą apskaičiuota vidutinė laikotarpio žvejybos trukmė patenka, ir taikoma atitinkama 1– 6 grupės nustatyta laikino žvejybos ribojimo laikotarpio fiksuotoji suma:</w:t>
            </w:r>
          </w:p>
          <w:tbl>
            <w:tblPr>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6378"/>
              <w:gridCol w:w="5528"/>
            </w:tblGrid>
            <w:tr w:rsidR="002C6D1A" w14:paraId="1EB235B0" w14:textId="77777777">
              <w:trPr>
                <w:trHeight w:val="411"/>
              </w:trPr>
              <w:tc>
                <w:tcPr>
                  <w:tcW w:w="2569" w:type="dxa"/>
                  <w:vAlign w:val="center"/>
                </w:tcPr>
                <w:p w14:paraId="43E4EA9B" w14:textId="77777777" w:rsidR="002C6D1A" w:rsidRDefault="002C6D1A">
                  <w:pPr>
                    <w:rPr>
                      <w:sz w:val="10"/>
                      <w:szCs w:val="10"/>
                    </w:rPr>
                  </w:pPr>
                </w:p>
                <w:p w14:paraId="400911CD" w14:textId="77777777" w:rsidR="002C6D1A" w:rsidRDefault="00B40D42">
                  <w:pPr>
                    <w:jc w:val="center"/>
                    <w:rPr>
                      <w:sz w:val="22"/>
                      <w:szCs w:val="22"/>
                      <w:lang w:eastAsia="lt-LT"/>
                    </w:rPr>
                  </w:pPr>
                  <w:r>
                    <w:rPr>
                      <w:rFonts w:eastAsia="Calibri"/>
                      <w:sz w:val="22"/>
                      <w:szCs w:val="22"/>
                    </w:rPr>
                    <w:t>Fiksuotojo dydžio Nr.</w:t>
                  </w:r>
                </w:p>
              </w:tc>
              <w:tc>
                <w:tcPr>
                  <w:tcW w:w="6378" w:type="dxa"/>
                  <w:vAlign w:val="center"/>
                </w:tcPr>
                <w:p w14:paraId="36FCC8FA" w14:textId="77777777" w:rsidR="002C6D1A" w:rsidRDefault="002C6D1A">
                  <w:pPr>
                    <w:rPr>
                      <w:sz w:val="10"/>
                      <w:szCs w:val="10"/>
                    </w:rPr>
                  </w:pPr>
                </w:p>
                <w:p w14:paraId="1AB7010E" w14:textId="77777777" w:rsidR="002C6D1A" w:rsidRDefault="00B40D42">
                  <w:pPr>
                    <w:jc w:val="center"/>
                    <w:rPr>
                      <w:sz w:val="22"/>
                      <w:szCs w:val="22"/>
                      <w:lang w:eastAsia="lt-LT"/>
                    </w:rPr>
                  </w:pPr>
                  <w:r>
                    <w:rPr>
                      <w:sz w:val="22"/>
                      <w:szCs w:val="22"/>
                      <w:lang w:eastAsia="lt-LT"/>
                    </w:rPr>
                    <w:t>Laikino žvejybos ribojimo</w:t>
                  </w:r>
                  <w:r>
                    <w:rPr>
                      <w:sz w:val="22"/>
                      <w:szCs w:val="22"/>
                      <w:lang w:eastAsia="lt-LT"/>
                    </w:rPr>
                    <w:t xml:space="preserve"> laikotarpio fiksuotoji suma pateikiama</w:t>
                  </w:r>
                </w:p>
              </w:tc>
              <w:tc>
                <w:tcPr>
                  <w:tcW w:w="5528" w:type="dxa"/>
                  <w:vAlign w:val="center"/>
                </w:tcPr>
                <w:p w14:paraId="79B02E94" w14:textId="77777777" w:rsidR="002C6D1A" w:rsidRDefault="002C6D1A">
                  <w:pPr>
                    <w:rPr>
                      <w:sz w:val="10"/>
                      <w:szCs w:val="10"/>
                    </w:rPr>
                  </w:pPr>
                </w:p>
                <w:p w14:paraId="76F7E251" w14:textId="77777777" w:rsidR="002C6D1A" w:rsidRDefault="00B40D42">
                  <w:pPr>
                    <w:jc w:val="center"/>
                    <w:rPr>
                      <w:sz w:val="22"/>
                      <w:szCs w:val="22"/>
                      <w:lang w:eastAsia="lt-LT"/>
                    </w:rPr>
                  </w:pPr>
                  <w:r>
                    <w:rPr>
                      <w:sz w:val="22"/>
                      <w:szCs w:val="22"/>
                      <w:lang w:eastAsia="lt-LT"/>
                    </w:rPr>
                    <w:t>Taikoma</w:t>
                  </w:r>
                  <w:r>
                    <w:rPr>
                      <w:rFonts w:eastAsia="Calibri"/>
                      <w:sz w:val="22"/>
                      <w:szCs w:val="22"/>
                    </w:rPr>
                    <w:t>, jei vidutinė laikotarpio žvejybos trukmė (imtinai):</w:t>
                  </w:r>
                </w:p>
              </w:tc>
            </w:tr>
            <w:tr w:rsidR="002C6D1A" w14:paraId="47F7894E" w14:textId="77777777">
              <w:trPr>
                <w:trHeight w:val="213"/>
              </w:trPr>
              <w:tc>
                <w:tcPr>
                  <w:tcW w:w="2569" w:type="dxa"/>
                </w:tcPr>
                <w:p w14:paraId="35C268F2" w14:textId="77777777" w:rsidR="002C6D1A" w:rsidRDefault="00B40D42">
                  <w:pPr>
                    <w:jc w:val="center"/>
                    <w:rPr>
                      <w:sz w:val="22"/>
                      <w:szCs w:val="22"/>
                      <w:lang w:eastAsia="lt-LT"/>
                    </w:rPr>
                  </w:pPr>
                  <w:r>
                    <w:rPr>
                      <w:sz w:val="22"/>
                      <w:szCs w:val="22"/>
                      <w:lang w:eastAsia="lt-LT"/>
                    </w:rPr>
                    <w:t>1</w:t>
                  </w:r>
                </w:p>
              </w:tc>
              <w:tc>
                <w:tcPr>
                  <w:tcW w:w="6378" w:type="dxa"/>
                  <w:vAlign w:val="center"/>
                </w:tcPr>
                <w:p w14:paraId="7E40D4BE" w14:textId="77777777" w:rsidR="002C6D1A" w:rsidRDefault="00B40D42">
                  <w:pPr>
                    <w:jc w:val="center"/>
                    <w:rPr>
                      <w:sz w:val="22"/>
                      <w:szCs w:val="22"/>
                      <w:lang w:eastAsia="lt-LT"/>
                    </w:rPr>
                  </w:pPr>
                  <w:r>
                    <w:rPr>
                      <w:sz w:val="22"/>
                      <w:szCs w:val="22"/>
                      <w:lang w:eastAsia="lt-LT"/>
                    </w:rPr>
                    <w:t>2</w:t>
                  </w:r>
                </w:p>
              </w:tc>
              <w:tc>
                <w:tcPr>
                  <w:tcW w:w="5528" w:type="dxa"/>
                </w:tcPr>
                <w:p w14:paraId="182E6C25" w14:textId="77777777" w:rsidR="002C6D1A" w:rsidRDefault="00B40D42">
                  <w:pPr>
                    <w:jc w:val="center"/>
                    <w:rPr>
                      <w:sz w:val="22"/>
                      <w:szCs w:val="22"/>
                      <w:lang w:eastAsia="lt-LT"/>
                    </w:rPr>
                  </w:pPr>
                  <w:r>
                    <w:rPr>
                      <w:sz w:val="22"/>
                      <w:szCs w:val="22"/>
                      <w:lang w:eastAsia="lt-LT"/>
                    </w:rPr>
                    <w:t>3</w:t>
                  </w:r>
                </w:p>
              </w:tc>
            </w:tr>
            <w:tr w:rsidR="002C6D1A" w14:paraId="47589C45" w14:textId="77777777">
              <w:trPr>
                <w:trHeight w:val="227"/>
              </w:trPr>
              <w:tc>
                <w:tcPr>
                  <w:tcW w:w="2569" w:type="dxa"/>
                </w:tcPr>
                <w:p w14:paraId="7E5B4235" w14:textId="77777777" w:rsidR="002C6D1A" w:rsidRDefault="00B40D42">
                  <w:pPr>
                    <w:jc w:val="center"/>
                    <w:rPr>
                      <w:sz w:val="22"/>
                      <w:szCs w:val="22"/>
                      <w:lang w:eastAsia="lt-LT"/>
                    </w:rPr>
                  </w:pPr>
                  <w:r>
                    <w:rPr>
                      <w:sz w:val="22"/>
                      <w:szCs w:val="22"/>
                      <w:lang w:eastAsia="lt-LT"/>
                    </w:rPr>
                    <w:t>FS</w:t>
                  </w:r>
                  <w:r>
                    <w:rPr>
                      <w:sz w:val="22"/>
                      <w:szCs w:val="22"/>
                      <w:vertAlign w:val="subscript"/>
                      <w:lang w:eastAsia="lt-LT"/>
                    </w:rPr>
                    <w:t>1</w:t>
                  </w:r>
                </w:p>
              </w:tc>
              <w:tc>
                <w:tcPr>
                  <w:tcW w:w="6378" w:type="dxa"/>
                  <w:vAlign w:val="center"/>
                </w:tcPr>
                <w:p w14:paraId="0E07F965" w14:textId="77777777" w:rsidR="002C6D1A" w:rsidRDefault="00B40D42">
                  <w:pPr>
                    <w:jc w:val="center"/>
                    <w:rPr>
                      <w:sz w:val="22"/>
                      <w:szCs w:val="22"/>
                      <w:lang w:eastAsia="lt-LT"/>
                    </w:rPr>
                  </w:pPr>
                  <w:r>
                    <w:rPr>
                      <w:color w:val="000000"/>
                      <w:sz w:val="22"/>
                      <w:szCs w:val="22"/>
                      <w:lang w:eastAsia="lt-LT"/>
                    </w:rPr>
                    <w:t>Aprašo 10.3–10.4 papunkčiuose</w:t>
                  </w:r>
                </w:p>
              </w:tc>
              <w:tc>
                <w:tcPr>
                  <w:tcW w:w="5528" w:type="dxa"/>
                  <w:vAlign w:val="bottom"/>
                </w:tcPr>
                <w:p w14:paraId="62F76132" w14:textId="77777777" w:rsidR="002C6D1A" w:rsidRDefault="00B40D42">
                  <w:pPr>
                    <w:jc w:val="center"/>
                    <w:rPr>
                      <w:sz w:val="22"/>
                      <w:szCs w:val="22"/>
                      <w:lang w:eastAsia="lt-LT"/>
                    </w:rPr>
                  </w:pPr>
                  <w:r>
                    <w:rPr>
                      <w:sz w:val="22"/>
                      <w:szCs w:val="22"/>
                      <w:lang w:eastAsia="lt-LT"/>
                    </w:rPr>
                    <w:t>iki 38 val.</w:t>
                  </w:r>
                </w:p>
              </w:tc>
            </w:tr>
            <w:tr w:rsidR="002C6D1A" w14:paraId="3F2AF64F" w14:textId="77777777">
              <w:trPr>
                <w:trHeight w:val="227"/>
              </w:trPr>
              <w:tc>
                <w:tcPr>
                  <w:tcW w:w="2569" w:type="dxa"/>
                </w:tcPr>
                <w:p w14:paraId="2D6FEC7E" w14:textId="77777777" w:rsidR="002C6D1A" w:rsidRDefault="00B40D42">
                  <w:pPr>
                    <w:jc w:val="center"/>
                    <w:rPr>
                      <w:sz w:val="22"/>
                      <w:szCs w:val="22"/>
                      <w:lang w:eastAsia="lt-LT"/>
                    </w:rPr>
                  </w:pPr>
                  <w:r>
                    <w:rPr>
                      <w:sz w:val="22"/>
                      <w:szCs w:val="22"/>
                      <w:lang w:eastAsia="lt-LT"/>
                    </w:rPr>
                    <w:t>FS</w:t>
                  </w:r>
                  <w:r>
                    <w:rPr>
                      <w:sz w:val="22"/>
                      <w:szCs w:val="22"/>
                      <w:vertAlign w:val="subscript"/>
                      <w:lang w:eastAsia="lt-LT"/>
                    </w:rPr>
                    <w:t>2</w:t>
                  </w:r>
                </w:p>
              </w:tc>
              <w:tc>
                <w:tcPr>
                  <w:tcW w:w="6378" w:type="dxa"/>
                  <w:vAlign w:val="center"/>
                </w:tcPr>
                <w:p w14:paraId="39D0670E" w14:textId="77777777" w:rsidR="002C6D1A" w:rsidRDefault="00B40D42">
                  <w:pPr>
                    <w:jc w:val="center"/>
                    <w:rPr>
                      <w:sz w:val="22"/>
                      <w:szCs w:val="22"/>
                      <w:lang w:eastAsia="lt-LT"/>
                    </w:rPr>
                  </w:pPr>
                  <w:r>
                    <w:rPr>
                      <w:color w:val="000000"/>
                      <w:sz w:val="22"/>
                      <w:szCs w:val="22"/>
                      <w:lang w:eastAsia="lt-LT"/>
                    </w:rPr>
                    <w:t>Aprašo 10.5–10.6 papunkčiuose</w:t>
                  </w:r>
                </w:p>
              </w:tc>
              <w:tc>
                <w:tcPr>
                  <w:tcW w:w="5528" w:type="dxa"/>
                  <w:vAlign w:val="bottom"/>
                </w:tcPr>
                <w:p w14:paraId="0B0E504B" w14:textId="77777777" w:rsidR="002C6D1A" w:rsidRDefault="00B40D42">
                  <w:pPr>
                    <w:jc w:val="center"/>
                    <w:rPr>
                      <w:sz w:val="22"/>
                      <w:szCs w:val="22"/>
                      <w:lang w:eastAsia="lt-LT"/>
                    </w:rPr>
                  </w:pPr>
                  <w:r>
                    <w:rPr>
                      <w:sz w:val="22"/>
                      <w:szCs w:val="22"/>
                      <w:lang w:eastAsia="lt-LT"/>
                    </w:rPr>
                    <w:t>nuo 39 val. iki 208 val.</w:t>
                  </w:r>
                </w:p>
              </w:tc>
            </w:tr>
            <w:tr w:rsidR="002C6D1A" w14:paraId="320B2443" w14:textId="77777777">
              <w:trPr>
                <w:trHeight w:val="227"/>
              </w:trPr>
              <w:tc>
                <w:tcPr>
                  <w:tcW w:w="2569" w:type="dxa"/>
                </w:tcPr>
                <w:p w14:paraId="6E37FCDA" w14:textId="77777777" w:rsidR="002C6D1A" w:rsidRDefault="00B40D42">
                  <w:pPr>
                    <w:jc w:val="center"/>
                    <w:rPr>
                      <w:sz w:val="22"/>
                      <w:szCs w:val="22"/>
                      <w:lang w:eastAsia="lt-LT"/>
                    </w:rPr>
                  </w:pPr>
                  <w:r>
                    <w:rPr>
                      <w:sz w:val="22"/>
                      <w:szCs w:val="22"/>
                      <w:lang w:eastAsia="lt-LT"/>
                    </w:rPr>
                    <w:t>FS</w:t>
                  </w:r>
                  <w:r>
                    <w:rPr>
                      <w:sz w:val="22"/>
                      <w:szCs w:val="22"/>
                      <w:vertAlign w:val="subscript"/>
                      <w:lang w:eastAsia="lt-LT"/>
                    </w:rPr>
                    <w:t>3</w:t>
                  </w:r>
                </w:p>
              </w:tc>
              <w:tc>
                <w:tcPr>
                  <w:tcW w:w="6378" w:type="dxa"/>
                </w:tcPr>
                <w:p w14:paraId="74EC3453" w14:textId="77777777" w:rsidR="002C6D1A" w:rsidRDefault="00B40D42">
                  <w:pPr>
                    <w:jc w:val="center"/>
                    <w:rPr>
                      <w:sz w:val="22"/>
                      <w:szCs w:val="22"/>
                      <w:lang w:eastAsia="lt-LT"/>
                    </w:rPr>
                  </w:pPr>
                  <w:r>
                    <w:rPr>
                      <w:color w:val="000000"/>
                      <w:sz w:val="22"/>
                      <w:szCs w:val="22"/>
                      <w:lang w:eastAsia="lt-LT"/>
                    </w:rPr>
                    <w:t>Aprašo 10.7–10.8 papunkčiuose</w:t>
                  </w:r>
                </w:p>
              </w:tc>
              <w:tc>
                <w:tcPr>
                  <w:tcW w:w="5528" w:type="dxa"/>
                  <w:vAlign w:val="bottom"/>
                </w:tcPr>
                <w:p w14:paraId="24A03B2E" w14:textId="77777777" w:rsidR="002C6D1A" w:rsidRDefault="00B40D42">
                  <w:pPr>
                    <w:jc w:val="center"/>
                    <w:rPr>
                      <w:sz w:val="22"/>
                      <w:szCs w:val="22"/>
                      <w:lang w:eastAsia="lt-LT"/>
                    </w:rPr>
                  </w:pPr>
                  <w:r>
                    <w:rPr>
                      <w:sz w:val="22"/>
                      <w:szCs w:val="22"/>
                      <w:lang w:eastAsia="lt-LT"/>
                    </w:rPr>
                    <w:t xml:space="preserve">nuo </w:t>
                  </w:r>
                  <w:r>
                    <w:rPr>
                      <w:sz w:val="22"/>
                      <w:szCs w:val="22"/>
                      <w:lang w:eastAsia="lt-LT"/>
                    </w:rPr>
                    <w:t>209 val. iki 455 val.</w:t>
                  </w:r>
                </w:p>
              </w:tc>
            </w:tr>
            <w:tr w:rsidR="002C6D1A" w14:paraId="7502C7EC" w14:textId="77777777">
              <w:trPr>
                <w:trHeight w:val="54"/>
              </w:trPr>
              <w:tc>
                <w:tcPr>
                  <w:tcW w:w="2569" w:type="dxa"/>
                </w:tcPr>
                <w:p w14:paraId="707ADBEE" w14:textId="77777777" w:rsidR="002C6D1A" w:rsidRDefault="00B40D42">
                  <w:pPr>
                    <w:jc w:val="center"/>
                    <w:rPr>
                      <w:sz w:val="22"/>
                      <w:szCs w:val="22"/>
                      <w:lang w:eastAsia="lt-LT"/>
                    </w:rPr>
                  </w:pPr>
                  <w:r>
                    <w:rPr>
                      <w:sz w:val="22"/>
                      <w:szCs w:val="22"/>
                      <w:lang w:eastAsia="lt-LT"/>
                    </w:rPr>
                    <w:t>FS</w:t>
                  </w:r>
                  <w:r>
                    <w:rPr>
                      <w:sz w:val="22"/>
                      <w:szCs w:val="22"/>
                      <w:vertAlign w:val="subscript"/>
                      <w:lang w:eastAsia="lt-LT"/>
                    </w:rPr>
                    <w:t>4</w:t>
                  </w:r>
                </w:p>
              </w:tc>
              <w:tc>
                <w:tcPr>
                  <w:tcW w:w="6378" w:type="dxa"/>
                </w:tcPr>
                <w:p w14:paraId="34541F24" w14:textId="77777777" w:rsidR="002C6D1A" w:rsidRDefault="00B40D42">
                  <w:pPr>
                    <w:jc w:val="center"/>
                    <w:rPr>
                      <w:sz w:val="22"/>
                      <w:szCs w:val="22"/>
                      <w:lang w:eastAsia="lt-LT"/>
                    </w:rPr>
                  </w:pPr>
                  <w:r>
                    <w:rPr>
                      <w:color w:val="000000"/>
                      <w:sz w:val="22"/>
                      <w:szCs w:val="22"/>
                      <w:lang w:eastAsia="lt-LT"/>
                    </w:rPr>
                    <w:t>Aprašo 10.9–10.10 papunkčiuose</w:t>
                  </w:r>
                </w:p>
              </w:tc>
              <w:tc>
                <w:tcPr>
                  <w:tcW w:w="5528" w:type="dxa"/>
                  <w:vAlign w:val="bottom"/>
                </w:tcPr>
                <w:p w14:paraId="1A3B6E4A" w14:textId="77777777" w:rsidR="002C6D1A" w:rsidRDefault="00B40D42">
                  <w:pPr>
                    <w:jc w:val="center"/>
                    <w:rPr>
                      <w:sz w:val="22"/>
                      <w:szCs w:val="22"/>
                      <w:lang w:eastAsia="lt-LT"/>
                    </w:rPr>
                  </w:pPr>
                  <w:r>
                    <w:rPr>
                      <w:sz w:val="22"/>
                      <w:szCs w:val="22"/>
                      <w:lang w:eastAsia="lt-LT"/>
                    </w:rPr>
                    <w:t>nuo 456 val. iki 914 val.</w:t>
                  </w:r>
                </w:p>
              </w:tc>
            </w:tr>
            <w:tr w:rsidR="002C6D1A" w14:paraId="2833BFF8" w14:textId="77777777">
              <w:trPr>
                <w:trHeight w:val="227"/>
              </w:trPr>
              <w:tc>
                <w:tcPr>
                  <w:tcW w:w="2569" w:type="dxa"/>
                </w:tcPr>
                <w:p w14:paraId="06BCAE09" w14:textId="77777777" w:rsidR="002C6D1A" w:rsidRDefault="00B40D42">
                  <w:pPr>
                    <w:jc w:val="center"/>
                    <w:rPr>
                      <w:sz w:val="22"/>
                      <w:szCs w:val="22"/>
                      <w:lang w:eastAsia="lt-LT"/>
                    </w:rPr>
                  </w:pPr>
                  <w:r>
                    <w:rPr>
                      <w:sz w:val="22"/>
                      <w:szCs w:val="22"/>
                      <w:lang w:eastAsia="lt-LT"/>
                    </w:rPr>
                    <w:t>FS</w:t>
                  </w:r>
                  <w:r>
                    <w:rPr>
                      <w:sz w:val="22"/>
                      <w:szCs w:val="22"/>
                      <w:vertAlign w:val="subscript"/>
                      <w:lang w:eastAsia="lt-LT"/>
                    </w:rPr>
                    <w:t>5</w:t>
                  </w:r>
                </w:p>
              </w:tc>
              <w:tc>
                <w:tcPr>
                  <w:tcW w:w="6378" w:type="dxa"/>
                  <w:vAlign w:val="center"/>
                </w:tcPr>
                <w:p w14:paraId="0F6D4825" w14:textId="77777777" w:rsidR="002C6D1A" w:rsidRDefault="00B40D42">
                  <w:pPr>
                    <w:jc w:val="center"/>
                    <w:rPr>
                      <w:sz w:val="22"/>
                      <w:szCs w:val="22"/>
                      <w:lang w:eastAsia="lt-LT"/>
                    </w:rPr>
                  </w:pPr>
                  <w:r>
                    <w:rPr>
                      <w:color w:val="000000"/>
                      <w:sz w:val="22"/>
                      <w:szCs w:val="22"/>
                      <w:lang w:eastAsia="lt-LT"/>
                    </w:rPr>
                    <w:t>Aprašo 10.11–10.12 papunkčiuose</w:t>
                  </w:r>
                </w:p>
              </w:tc>
              <w:tc>
                <w:tcPr>
                  <w:tcW w:w="5528" w:type="dxa"/>
                  <w:vAlign w:val="bottom"/>
                </w:tcPr>
                <w:p w14:paraId="6E7561BF" w14:textId="77777777" w:rsidR="002C6D1A" w:rsidRDefault="00B40D42">
                  <w:pPr>
                    <w:jc w:val="center"/>
                    <w:rPr>
                      <w:sz w:val="22"/>
                      <w:szCs w:val="22"/>
                      <w:lang w:eastAsia="lt-LT"/>
                    </w:rPr>
                  </w:pPr>
                  <w:r>
                    <w:rPr>
                      <w:sz w:val="22"/>
                      <w:szCs w:val="22"/>
                      <w:lang w:eastAsia="lt-LT"/>
                    </w:rPr>
                    <w:t>nuo 915 val. iki 1759 val.</w:t>
                  </w:r>
                </w:p>
              </w:tc>
            </w:tr>
            <w:tr w:rsidR="002C6D1A" w14:paraId="76171838" w14:textId="77777777">
              <w:trPr>
                <w:trHeight w:val="227"/>
              </w:trPr>
              <w:tc>
                <w:tcPr>
                  <w:tcW w:w="2569" w:type="dxa"/>
                </w:tcPr>
                <w:p w14:paraId="64585001" w14:textId="77777777" w:rsidR="002C6D1A" w:rsidRDefault="00B40D42">
                  <w:pPr>
                    <w:jc w:val="center"/>
                    <w:rPr>
                      <w:sz w:val="22"/>
                      <w:szCs w:val="22"/>
                      <w:lang w:eastAsia="lt-LT"/>
                    </w:rPr>
                  </w:pPr>
                  <w:r>
                    <w:rPr>
                      <w:sz w:val="22"/>
                      <w:szCs w:val="22"/>
                      <w:lang w:eastAsia="lt-LT"/>
                    </w:rPr>
                    <w:t>FS</w:t>
                  </w:r>
                  <w:r>
                    <w:rPr>
                      <w:sz w:val="22"/>
                      <w:szCs w:val="22"/>
                      <w:vertAlign w:val="subscript"/>
                      <w:lang w:eastAsia="lt-LT"/>
                    </w:rPr>
                    <w:t>6</w:t>
                  </w:r>
                </w:p>
              </w:tc>
              <w:tc>
                <w:tcPr>
                  <w:tcW w:w="6378" w:type="dxa"/>
                </w:tcPr>
                <w:p w14:paraId="2B021812" w14:textId="77777777" w:rsidR="002C6D1A" w:rsidRDefault="00B40D42">
                  <w:pPr>
                    <w:jc w:val="center"/>
                    <w:rPr>
                      <w:sz w:val="22"/>
                      <w:szCs w:val="22"/>
                      <w:lang w:eastAsia="lt-LT"/>
                    </w:rPr>
                  </w:pPr>
                  <w:r>
                    <w:rPr>
                      <w:color w:val="000000"/>
                      <w:sz w:val="22"/>
                      <w:szCs w:val="22"/>
                      <w:lang w:eastAsia="lt-LT"/>
                    </w:rPr>
                    <w:t>Aprašo 10.13–10.14 papunkčiuose</w:t>
                  </w:r>
                </w:p>
              </w:tc>
              <w:tc>
                <w:tcPr>
                  <w:tcW w:w="5528" w:type="dxa"/>
                  <w:vAlign w:val="bottom"/>
                </w:tcPr>
                <w:p w14:paraId="0A623EFD" w14:textId="77777777" w:rsidR="002C6D1A" w:rsidRDefault="00B40D42">
                  <w:pPr>
                    <w:jc w:val="center"/>
                    <w:rPr>
                      <w:sz w:val="22"/>
                      <w:szCs w:val="22"/>
                      <w:lang w:eastAsia="lt-LT"/>
                    </w:rPr>
                  </w:pPr>
                  <w:r>
                    <w:rPr>
                      <w:sz w:val="22"/>
                      <w:szCs w:val="22"/>
                      <w:lang w:eastAsia="lt-LT"/>
                    </w:rPr>
                    <w:t>1760 val. ir daugiau</w:t>
                  </w:r>
                </w:p>
              </w:tc>
            </w:tr>
          </w:tbl>
          <w:p w14:paraId="6F0911E7" w14:textId="77777777" w:rsidR="002C6D1A" w:rsidRDefault="00B40D42">
            <w:pPr>
              <w:spacing w:line="360" w:lineRule="auto"/>
              <w:jc w:val="both"/>
              <w:rPr>
                <w:sz w:val="22"/>
                <w:szCs w:val="22"/>
              </w:rPr>
            </w:pPr>
            <w:r>
              <w:rPr>
                <w:sz w:val="22"/>
                <w:szCs w:val="22"/>
                <w:lang w:eastAsia="lt-LT"/>
              </w:rPr>
              <w:t xml:space="preserve">9.4. Skiriamos kompensacijos dydis apskaičiuojamas už kiekvieną Valdymo priemonių taikymo etapą, vadovaujantis </w:t>
            </w:r>
            <w:r>
              <w:rPr>
                <w:sz w:val="22"/>
                <w:szCs w:val="22"/>
              </w:rPr>
              <w:t>Žuvininkystės tarnybos prie Lietuvos Respublikos žemės ūkio ministerijos (toliau – Tarnyba) duomenimis. Paramos gavėjai patys atsako už tinkamą (</w:t>
            </w:r>
            <w:r>
              <w:rPr>
                <w:sz w:val="22"/>
                <w:szCs w:val="22"/>
              </w:rPr>
              <w:t xml:space="preserve">teisės aktų nustatyta tvarka) Lietuvos Respublikos žvejybos laivų žvejybos žurnalų pildymą ir teikimą Tarnybai. Skiriamos kompensacijos dydis gali keistis ir po jos išmokėjimo, jei yra patikslinami atitinkami Tarnybos duomenys. </w:t>
            </w:r>
          </w:p>
          <w:p w14:paraId="4A00CAF8" w14:textId="77777777" w:rsidR="002C6D1A" w:rsidRDefault="00B40D42">
            <w:pPr>
              <w:spacing w:line="360" w:lineRule="auto"/>
              <w:jc w:val="both"/>
              <w:rPr>
                <w:color w:val="000000"/>
                <w:sz w:val="22"/>
                <w:szCs w:val="22"/>
                <w:lang w:eastAsia="lt-LT"/>
              </w:rPr>
            </w:pPr>
            <w:r>
              <w:rPr>
                <w:sz w:val="22"/>
                <w:szCs w:val="22"/>
                <w:lang w:eastAsia="lt-LT"/>
              </w:rPr>
              <w:t>9.5. matomumo ir informavim</w:t>
            </w:r>
            <w:r>
              <w:rPr>
                <w:sz w:val="22"/>
                <w:szCs w:val="22"/>
                <w:lang w:eastAsia="lt-LT"/>
              </w:rPr>
              <w:t>o apie projektą išlaidos</w:t>
            </w:r>
            <w:r>
              <w:t xml:space="preserve"> </w:t>
            </w:r>
            <w:r>
              <w:rPr>
                <w:sz w:val="22"/>
                <w:szCs w:val="22"/>
                <w:lang w:eastAsia="lt-LT"/>
              </w:rPr>
              <w:t>apskaičiuojamos taikant fiksuotąjį įkainį, nustatytą Aprašo 10.1–10.2 papunkčiuose. Viešinimo tvarka nustatyta Komunikacijos nuostatuose (PFAT 6 priedas). Šios išlaidos apmokamos kartą per projekto veiklos vykdymo laikotarpį, kai s</w:t>
            </w:r>
            <w:r>
              <w:rPr>
                <w:sz w:val="22"/>
                <w:szCs w:val="22"/>
                <w:lang w:eastAsia="lt-LT"/>
              </w:rPr>
              <w:t>u veiklos ataskaita pateikiami įrodymai apie privalomų matomumo ir informavimo priemonių įgyvendinimą.</w:t>
            </w:r>
          </w:p>
        </w:tc>
      </w:tr>
      <w:tr w:rsidR="002C6D1A" w14:paraId="2D1C34B1" w14:textId="77777777">
        <w:trPr>
          <w:trHeight w:val="349"/>
        </w:trPr>
        <w:tc>
          <w:tcPr>
            <w:tcW w:w="14709" w:type="dxa"/>
            <w:tcBorders>
              <w:bottom w:val="single" w:sz="4" w:space="0" w:color="auto"/>
            </w:tcBorders>
          </w:tcPr>
          <w:p w14:paraId="5100F74D" w14:textId="77777777" w:rsidR="002C6D1A" w:rsidRDefault="00B40D42">
            <w:pPr>
              <w:spacing w:line="360" w:lineRule="auto"/>
              <w:jc w:val="both"/>
              <w:rPr>
                <w:sz w:val="22"/>
                <w:szCs w:val="22"/>
              </w:rPr>
            </w:pPr>
            <w:r>
              <w:rPr>
                <w:b/>
                <w:sz w:val="22"/>
                <w:szCs w:val="22"/>
              </w:rPr>
              <w:t>10. Projekto veiklos įgyvendinimui taikomi supaprastintai apmokamų išlaidų dydžiai</w:t>
            </w:r>
          </w:p>
        </w:tc>
      </w:tr>
      <w:tr w:rsidR="002C6D1A" w14:paraId="12B884FF" w14:textId="77777777">
        <w:tc>
          <w:tcPr>
            <w:tcW w:w="14709" w:type="dxa"/>
          </w:tcPr>
          <w:p w14:paraId="2E1E3D79" w14:textId="77B7A237" w:rsidR="002C6D1A" w:rsidRDefault="00B40D42">
            <w:pPr>
              <w:spacing w:line="360" w:lineRule="auto"/>
              <w:jc w:val="both"/>
              <w:rPr>
                <w:bCs/>
                <w:sz w:val="22"/>
                <w:szCs w:val="22"/>
              </w:rPr>
            </w:pPr>
            <w:r>
              <w:rPr>
                <w:bCs/>
                <w:sz w:val="22"/>
                <w:szCs w:val="22"/>
              </w:rPr>
              <w:t xml:space="preserve">Taikomi Supaprastintai apmokamų išlaidų dydžių registre Priemonei </w:t>
            </w:r>
            <w:r>
              <w:rPr>
                <w:bCs/>
                <w:sz w:val="22"/>
                <w:szCs w:val="22"/>
              </w:rPr>
              <w:t>nustatyti supaprastintai apmokamų išlaidų dydžiai:</w:t>
            </w:r>
          </w:p>
          <w:p w14:paraId="59291642" w14:textId="77777777" w:rsidR="002C6D1A" w:rsidRDefault="00B40D42">
            <w:pPr>
              <w:spacing w:line="360" w:lineRule="auto"/>
              <w:rPr>
                <w:rFonts w:eastAsia="Calibri"/>
                <w:color w:val="0563C1"/>
                <w:sz w:val="22"/>
                <w:szCs w:val="22"/>
                <w:u w:val="single"/>
              </w:rPr>
            </w:pPr>
            <w:r>
              <w:rPr>
                <w:rFonts w:eastAsia="Calibri"/>
                <w:color w:val="0563C1"/>
                <w:sz w:val="22"/>
                <w:szCs w:val="22"/>
                <w:u w:val="single"/>
              </w:rPr>
              <w:t>https://2021.esinvesticijos.lt/dokumentai/supaprastintai-apmokamu-islaidu-dydziu-registras</w:t>
            </w:r>
          </w:p>
          <w:p w14:paraId="1847D0E0" w14:textId="77777777" w:rsidR="002C6D1A" w:rsidRDefault="00B40D42">
            <w:pPr>
              <w:spacing w:line="360" w:lineRule="auto"/>
              <w:jc w:val="both"/>
              <w:rPr>
                <w:bCs/>
                <w:sz w:val="22"/>
                <w:szCs w:val="22"/>
              </w:rPr>
            </w:pPr>
            <w:r>
              <w:rPr>
                <w:bCs/>
                <w:sz w:val="22"/>
                <w:szCs w:val="22"/>
              </w:rPr>
              <w:t>Parengti fiksuotųjų dydžių tyrimai EJRŽAF lėšomis finansuojamoms veikloms:</w:t>
            </w:r>
          </w:p>
          <w:p w14:paraId="1624CE43" w14:textId="77777777" w:rsidR="002C6D1A" w:rsidRDefault="00B40D42">
            <w:pPr>
              <w:spacing w:line="360" w:lineRule="auto"/>
              <w:jc w:val="both"/>
              <w:rPr>
                <w:rFonts w:eastAsia="Calibri"/>
                <w:color w:val="0563C1"/>
                <w:sz w:val="22"/>
                <w:szCs w:val="22"/>
                <w:u w:val="single"/>
              </w:rPr>
            </w:pPr>
            <w:r>
              <w:rPr>
                <w:rFonts w:eastAsia="Calibri"/>
                <w:color w:val="0563C1"/>
                <w:sz w:val="22"/>
                <w:szCs w:val="22"/>
                <w:u w:val="single"/>
              </w:rPr>
              <w:t>https://www.esf.lt/veiklos-sritys/metodines-pagalbos-centras/parengti-fiksuotuju-dydziu-tyrimai/1105#c-47/t-81</w:t>
            </w:r>
          </w:p>
          <w:tbl>
            <w:tblPr>
              <w:tblW w:w="14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5526"/>
              <w:gridCol w:w="1699"/>
              <w:gridCol w:w="1699"/>
              <w:gridCol w:w="4590"/>
            </w:tblGrid>
            <w:tr w:rsidR="002C6D1A" w14:paraId="407CE3F1" w14:textId="77777777">
              <w:trPr>
                <w:trHeight w:val="645"/>
              </w:trPr>
              <w:tc>
                <w:tcPr>
                  <w:tcW w:w="861" w:type="dxa"/>
                  <w:vAlign w:val="center"/>
                  <w:hideMark/>
                </w:tcPr>
                <w:p w14:paraId="1D098C40" w14:textId="77777777" w:rsidR="002C6D1A" w:rsidRDefault="00B40D42">
                  <w:pPr>
                    <w:jc w:val="center"/>
                    <w:rPr>
                      <w:b/>
                      <w:bCs/>
                      <w:sz w:val="22"/>
                      <w:szCs w:val="22"/>
                    </w:rPr>
                  </w:pPr>
                  <w:r>
                    <w:rPr>
                      <w:b/>
                      <w:bCs/>
                      <w:sz w:val="22"/>
                      <w:szCs w:val="22"/>
                    </w:rPr>
                    <w:t>Eil. Nr.</w:t>
                  </w:r>
                </w:p>
              </w:tc>
              <w:tc>
                <w:tcPr>
                  <w:tcW w:w="5526" w:type="dxa"/>
                  <w:vAlign w:val="center"/>
                  <w:hideMark/>
                </w:tcPr>
                <w:p w14:paraId="125637AA" w14:textId="77777777" w:rsidR="002C6D1A" w:rsidRDefault="00B40D42">
                  <w:pPr>
                    <w:jc w:val="center"/>
                    <w:rPr>
                      <w:b/>
                      <w:bCs/>
                      <w:sz w:val="22"/>
                      <w:szCs w:val="22"/>
                    </w:rPr>
                  </w:pPr>
                  <w:r>
                    <w:rPr>
                      <w:b/>
                      <w:bCs/>
                      <w:sz w:val="22"/>
                      <w:szCs w:val="22"/>
                    </w:rPr>
                    <w:t>Veiklos ir (ar) išlaidos, kurioms taikomi supaprastintai apmokamų išlaidų dydžiai</w:t>
                  </w:r>
                </w:p>
              </w:tc>
              <w:tc>
                <w:tcPr>
                  <w:tcW w:w="1699" w:type="dxa"/>
                  <w:vAlign w:val="center"/>
                  <w:hideMark/>
                </w:tcPr>
                <w:p w14:paraId="10A22205" w14:textId="77777777" w:rsidR="002C6D1A" w:rsidRDefault="00B40D42">
                  <w:pPr>
                    <w:jc w:val="center"/>
                    <w:rPr>
                      <w:b/>
                      <w:bCs/>
                      <w:sz w:val="22"/>
                      <w:szCs w:val="22"/>
                    </w:rPr>
                  </w:pPr>
                  <w:r>
                    <w:rPr>
                      <w:b/>
                      <w:bCs/>
                      <w:sz w:val="22"/>
                      <w:szCs w:val="22"/>
                    </w:rPr>
                    <w:t>Supaprastintai apmokamų išlaidų dydžio kodas</w:t>
                  </w:r>
                </w:p>
              </w:tc>
              <w:tc>
                <w:tcPr>
                  <w:tcW w:w="1699" w:type="dxa"/>
                  <w:vAlign w:val="center"/>
                  <w:hideMark/>
                </w:tcPr>
                <w:p w14:paraId="36FFC234" w14:textId="77777777" w:rsidR="002C6D1A" w:rsidRDefault="00B40D42">
                  <w:pPr>
                    <w:jc w:val="center"/>
                    <w:rPr>
                      <w:b/>
                      <w:bCs/>
                      <w:i/>
                      <w:iCs/>
                      <w:sz w:val="22"/>
                      <w:szCs w:val="22"/>
                    </w:rPr>
                  </w:pPr>
                  <w:r>
                    <w:rPr>
                      <w:b/>
                      <w:bCs/>
                      <w:sz w:val="22"/>
                      <w:szCs w:val="22"/>
                    </w:rPr>
                    <w:t>Supaprastintai apmokamų išlaidų dydžio versija</w:t>
                  </w:r>
                </w:p>
              </w:tc>
              <w:tc>
                <w:tcPr>
                  <w:tcW w:w="4590" w:type="dxa"/>
                  <w:vAlign w:val="center"/>
                  <w:hideMark/>
                </w:tcPr>
                <w:p w14:paraId="0CCA1B10" w14:textId="77777777" w:rsidR="002C6D1A" w:rsidRDefault="00B40D42">
                  <w:pPr>
                    <w:jc w:val="center"/>
                    <w:rPr>
                      <w:b/>
                      <w:bCs/>
                      <w:sz w:val="22"/>
                      <w:szCs w:val="22"/>
                    </w:rPr>
                  </w:pPr>
                  <w:r>
                    <w:rPr>
                      <w:b/>
                      <w:bCs/>
                      <w:sz w:val="22"/>
                      <w:szCs w:val="22"/>
                    </w:rPr>
                    <w:t>Supaprastintai apmokamų išlaidų dydžio pavadinimas</w:t>
                  </w:r>
                </w:p>
              </w:tc>
            </w:tr>
            <w:tr w:rsidR="002C6D1A" w14:paraId="150D224C" w14:textId="77777777">
              <w:trPr>
                <w:trHeight w:val="50"/>
              </w:trPr>
              <w:tc>
                <w:tcPr>
                  <w:tcW w:w="861" w:type="dxa"/>
                  <w:hideMark/>
                </w:tcPr>
                <w:p w14:paraId="1241780F" w14:textId="77777777" w:rsidR="002C6D1A" w:rsidRDefault="00B40D42">
                  <w:pPr>
                    <w:jc w:val="center"/>
                    <w:rPr>
                      <w:sz w:val="22"/>
                      <w:szCs w:val="22"/>
                    </w:rPr>
                  </w:pPr>
                  <w:r>
                    <w:rPr>
                      <w:sz w:val="22"/>
                      <w:szCs w:val="22"/>
                    </w:rPr>
                    <w:t>1.</w:t>
                  </w:r>
                </w:p>
              </w:tc>
              <w:tc>
                <w:tcPr>
                  <w:tcW w:w="5526" w:type="dxa"/>
                  <w:hideMark/>
                </w:tcPr>
                <w:p w14:paraId="74A79350" w14:textId="77777777" w:rsidR="002C6D1A" w:rsidRDefault="00B40D42">
                  <w:pPr>
                    <w:jc w:val="center"/>
                    <w:rPr>
                      <w:sz w:val="22"/>
                      <w:szCs w:val="22"/>
                    </w:rPr>
                  </w:pPr>
                  <w:r>
                    <w:rPr>
                      <w:sz w:val="22"/>
                      <w:szCs w:val="22"/>
                    </w:rPr>
                    <w:t>2.</w:t>
                  </w:r>
                </w:p>
              </w:tc>
              <w:tc>
                <w:tcPr>
                  <w:tcW w:w="1699" w:type="dxa"/>
                  <w:vAlign w:val="center"/>
                  <w:hideMark/>
                </w:tcPr>
                <w:p w14:paraId="5BCB6949" w14:textId="77777777" w:rsidR="002C6D1A" w:rsidRDefault="00B40D42">
                  <w:pPr>
                    <w:jc w:val="center"/>
                    <w:rPr>
                      <w:sz w:val="22"/>
                      <w:szCs w:val="22"/>
                    </w:rPr>
                  </w:pPr>
                  <w:r>
                    <w:rPr>
                      <w:sz w:val="22"/>
                      <w:szCs w:val="22"/>
                    </w:rPr>
                    <w:t>3.</w:t>
                  </w:r>
                </w:p>
              </w:tc>
              <w:tc>
                <w:tcPr>
                  <w:tcW w:w="1699" w:type="dxa"/>
                  <w:vAlign w:val="center"/>
                  <w:hideMark/>
                </w:tcPr>
                <w:p w14:paraId="2592EDDD" w14:textId="77777777" w:rsidR="002C6D1A" w:rsidRDefault="00B40D42">
                  <w:pPr>
                    <w:jc w:val="center"/>
                    <w:rPr>
                      <w:sz w:val="22"/>
                      <w:szCs w:val="22"/>
                    </w:rPr>
                  </w:pPr>
                  <w:r>
                    <w:rPr>
                      <w:sz w:val="22"/>
                      <w:szCs w:val="22"/>
                    </w:rPr>
                    <w:t>4.</w:t>
                  </w:r>
                </w:p>
              </w:tc>
              <w:tc>
                <w:tcPr>
                  <w:tcW w:w="4590" w:type="dxa"/>
                  <w:vAlign w:val="center"/>
                  <w:hideMark/>
                </w:tcPr>
                <w:p w14:paraId="10BBF0AF" w14:textId="77777777" w:rsidR="002C6D1A" w:rsidRDefault="00B40D42">
                  <w:pPr>
                    <w:jc w:val="center"/>
                    <w:rPr>
                      <w:sz w:val="22"/>
                      <w:szCs w:val="22"/>
                    </w:rPr>
                  </w:pPr>
                  <w:r>
                    <w:rPr>
                      <w:sz w:val="22"/>
                      <w:szCs w:val="22"/>
                    </w:rPr>
                    <w:t>5.</w:t>
                  </w:r>
                </w:p>
              </w:tc>
            </w:tr>
            <w:tr w:rsidR="002C6D1A" w14:paraId="01D1DC8C" w14:textId="77777777">
              <w:trPr>
                <w:trHeight w:val="742"/>
              </w:trPr>
              <w:tc>
                <w:tcPr>
                  <w:tcW w:w="861" w:type="dxa"/>
                  <w:hideMark/>
                </w:tcPr>
                <w:p w14:paraId="33E98458" w14:textId="77777777" w:rsidR="002C6D1A" w:rsidRDefault="00B40D42">
                  <w:pPr>
                    <w:jc w:val="center"/>
                    <w:rPr>
                      <w:sz w:val="22"/>
                      <w:szCs w:val="22"/>
                    </w:rPr>
                  </w:pPr>
                  <w:r>
                    <w:rPr>
                      <w:sz w:val="22"/>
                      <w:szCs w:val="22"/>
                    </w:rPr>
                    <w:t>10.1.</w:t>
                  </w:r>
                </w:p>
              </w:tc>
              <w:tc>
                <w:tcPr>
                  <w:tcW w:w="5526" w:type="dxa"/>
                  <w:vMerge w:val="restart"/>
                  <w:hideMark/>
                </w:tcPr>
                <w:p w14:paraId="2086E96E" w14:textId="77777777" w:rsidR="002C6D1A" w:rsidRDefault="00B40D42">
                  <w:pPr>
                    <w:rPr>
                      <w:sz w:val="22"/>
                      <w:szCs w:val="22"/>
                    </w:rPr>
                  </w:pPr>
                  <w:r>
                    <w:rPr>
                      <w:sz w:val="22"/>
                      <w:szCs w:val="22"/>
                    </w:rPr>
                    <w:t>Fiksuotąją sumą sudaro visų pirmojo privalomų matomumo ir informavimo priemonių rinkinio išlaidos, kai:</w:t>
                  </w:r>
                </w:p>
                <w:p w14:paraId="72B5E30C" w14:textId="77777777" w:rsidR="002C6D1A" w:rsidRDefault="00B40D42">
                  <w:pPr>
                    <w:rPr>
                      <w:sz w:val="22"/>
                      <w:szCs w:val="22"/>
                    </w:rPr>
                  </w:pPr>
                  <w:r>
                    <w:rPr>
                      <w:sz w:val="22"/>
                      <w:szCs w:val="22"/>
                    </w:rPr>
                    <w:t xml:space="preserve">a) projekto įgyvendinimo </w:t>
                  </w:r>
                  <w:r>
                    <w:rPr>
                      <w:sz w:val="22"/>
                      <w:szCs w:val="22"/>
                    </w:rPr>
                    <w:t>pradžioje projekto vykdytojo oficialioje interneto svetainėje, jei tokia yra, ir socialinės žiniasklaidos svetainėse paskelbta informacija – trumpas veiksmo, įskaitant jo tikslus ir rezultatus, aprašymas, proporcingas paramos dydžiui, bei informavimas apie</w:t>
                  </w:r>
                  <w:r>
                    <w:rPr>
                      <w:sz w:val="22"/>
                      <w:szCs w:val="22"/>
                    </w:rPr>
                    <w:t xml:space="preserve"> iš ES gaunamą finansinę paramą;</w:t>
                  </w:r>
                </w:p>
                <w:p w14:paraId="46D42524" w14:textId="77777777" w:rsidR="002C6D1A" w:rsidRDefault="00B40D42">
                  <w:pPr>
                    <w:rPr>
                      <w:sz w:val="22"/>
                      <w:szCs w:val="22"/>
                    </w:rPr>
                  </w:pPr>
                  <w:r>
                    <w:rPr>
                      <w:sz w:val="22"/>
                      <w:szCs w:val="22"/>
                    </w:rPr>
                    <w:t>b) projekto įgyvendinimo pradžioje visuomenei gerai matomoje vietoje pakabintas bent vienas ne mažesnio nei A3 formato spausdintas skelbimas (plakatas) arba elektroniniame ekrane paskelbtas lygiavertis pranešimas, kuriame t</w:t>
                  </w:r>
                  <w:r>
                    <w:rPr>
                      <w:sz w:val="22"/>
                      <w:szCs w:val="22"/>
                    </w:rPr>
                    <w:t>uri būti pateikta informacija apie veiksmą akcentuojant iš ES gaunamą finansinę paramą;</w:t>
                  </w:r>
                </w:p>
                <w:p w14:paraId="53A1B191" w14:textId="77777777" w:rsidR="002C6D1A" w:rsidRDefault="00B40D42">
                  <w:pPr>
                    <w:rPr>
                      <w:sz w:val="22"/>
                      <w:szCs w:val="22"/>
                    </w:rPr>
                  </w:pPr>
                  <w:r>
                    <w:rPr>
                      <w:sz w:val="22"/>
                      <w:szCs w:val="22"/>
                    </w:rPr>
                    <w:t>c) visuomenei arba dalyviams skirtuose dokumentuose ir komunikacijos medžiagoje, susijusioje su veiksmo įgyvendinimu, gerai matomai pateiktas pareiškimas, kuriame akcen</w:t>
                  </w:r>
                  <w:r>
                    <w:rPr>
                      <w:sz w:val="22"/>
                      <w:szCs w:val="22"/>
                    </w:rPr>
                    <w:t>tuojama gaunama ES parama.</w:t>
                  </w:r>
                </w:p>
              </w:tc>
              <w:tc>
                <w:tcPr>
                  <w:tcW w:w="1699" w:type="dxa"/>
                  <w:vAlign w:val="center"/>
                  <w:hideMark/>
                </w:tcPr>
                <w:p w14:paraId="7D25D932" w14:textId="77777777" w:rsidR="002C6D1A" w:rsidRDefault="00B40D42">
                  <w:pPr>
                    <w:jc w:val="center"/>
                    <w:rPr>
                      <w:sz w:val="22"/>
                      <w:szCs w:val="22"/>
                    </w:rPr>
                  </w:pPr>
                  <w:r>
                    <w:rPr>
                      <w:sz w:val="22"/>
                      <w:szCs w:val="22"/>
                    </w:rPr>
                    <w:t>FS-01-01</w:t>
                  </w:r>
                </w:p>
              </w:tc>
              <w:tc>
                <w:tcPr>
                  <w:tcW w:w="1699" w:type="dxa"/>
                  <w:vAlign w:val="center"/>
                  <w:hideMark/>
                </w:tcPr>
                <w:p w14:paraId="300A44FB" w14:textId="77777777" w:rsidR="002C6D1A" w:rsidRDefault="00B40D42">
                  <w:pPr>
                    <w:jc w:val="center"/>
                    <w:rPr>
                      <w:sz w:val="22"/>
                      <w:szCs w:val="22"/>
                    </w:rPr>
                  </w:pPr>
                  <w:r>
                    <w:rPr>
                      <w:sz w:val="22"/>
                      <w:szCs w:val="22"/>
                    </w:rPr>
                    <w:t>-</w:t>
                  </w:r>
                </w:p>
              </w:tc>
              <w:tc>
                <w:tcPr>
                  <w:tcW w:w="4590" w:type="dxa"/>
                  <w:vAlign w:val="center"/>
                  <w:hideMark/>
                </w:tcPr>
                <w:p w14:paraId="150527BB" w14:textId="77777777" w:rsidR="002C6D1A" w:rsidRDefault="00B40D42">
                  <w:pPr>
                    <w:jc w:val="center"/>
                    <w:rPr>
                      <w:sz w:val="22"/>
                      <w:szCs w:val="22"/>
                    </w:rPr>
                  </w:pPr>
                  <w:r>
                    <w:rPr>
                      <w:sz w:val="22"/>
                      <w:szCs w:val="22"/>
                    </w:rPr>
                    <w:t>Įgyvendintų privalomų matomumo ir informavimo priemonių apie ES fondų investicijų veiklas fiksuotoji suma, pirmojo rinkinio FS be PVM</w:t>
                  </w:r>
                </w:p>
              </w:tc>
            </w:tr>
            <w:tr w:rsidR="002C6D1A" w14:paraId="2408BEC7" w14:textId="77777777">
              <w:trPr>
                <w:trHeight w:val="752"/>
              </w:trPr>
              <w:tc>
                <w:tcPr>
                  <w:tcW w:w="861" w:type="dxa"/>
                  <w:hideMark/>
                </w:tcPr>
                <w:p w14:paraId="6B068F65" w14:textId="77777777" w:rsidR="002C6D1A" w:rsidRDefault="00B40D42">
                  <w:pPr>
                    <w:jc w:val="center"/>
                    <w:rPr>
                      <w:i/>
                      <w:iCs/>
                      <w:sz w:val="22"/>
                      <w:szCs w:val="22"/>
                    </w:rPr>
                  </w:pPr>
                  <w:r>
                    <w:rPr>
                      <w:sz w:val="22"/>
                      <w:szCs w:val="22"/>
                    </w:rPr>
                    <w:t>10.2.</w:t>
                  </w:r>
                </w:p>
              </w:tc>
              <w:tc>
                <w:tcPr>
                  <w:tcW w:w="5526" w:type="dxa"/>
                  <w:vMerge/>
                  <w:vAlign w:val="center"/>
                  <w:hideMark/>
                </w:tcPr>
                <w:p w14:paraId="75B7F9CC" w14:textId="77777777" w:rsidR="002C6D1A" w:rsidRDefault="002C6D1A">
                  <w:pPr>
                    <w:rPr>
                      <w:sz w:val="22"/>
                      <w:szCs w:val="22"/>
                    </w:rPr>
                  </w:pPr>
                </w:p>
              </w:tc>
              <w:tc>
                <w:tcPr>
                  <w:tcW w:w="1699" w:type="dxa"/>
                  <w:vAlign w:val="center"/>
                  <w:hideMark/>
                </w:tcPr>
                <w:p w14:paraId="2DF6EB71" w14:textId="77777777" w:rsidR="002C6D1A" w:rsidRDefault="00B40D42">
                  <w:pPr>
                    <w:jc w:val="center"/>
                    <w:rPr>
                      <w:sz w:val="22"/>
                      <w:szCs w:val="22"/>
                    </w:rPr>
                  </w:pPr>
                  <w:r>
                    <w:rPr>
                      <w:sz w:val="22"/>
                      <w:szCs w:val="22"/>
                    </w:rPr>
                    <w:t>FS-01-02</w:t>
                  </w:r>
                </w:p>
              </w:tc>
              <w:tc>
                <w:tcPr>
                  <w:tcW w:w="1699" w:type="dxa"/>
                  <w:vAlign w:val="center"/>
                  <w:hideMark/>
                </w:tcPr>
                <w:p w14:paraId="74B309EA" w14:textId="77777777" w:rsidR="002C6D1A" w:rsidRDefault="00B40D42">
                  <w:pPr>
                    <w:jc w:val="center"/>
                    <w:rPr>
                      <w:sz w:val="22"/>
                      <w:szCs w:val="22"/>
                    </w:rPr>
                  </w:pPr>
                  <w:r>
                    <w:rPr>
                      <w:sz w:val="22"/>
                      <w:szCs w:val="22"/>
                    </w:rPr>
                    <w:t>-</w:t>
                  </w:r>
                </w:p>
              </w:tc>
              <w:tc>
                <w:tcPr>
                  <w:tcW w:w="4590" w:type="dxa"/>
                  <w:vAlign w:val="center"/>
                  <w:hideMark/>
                </w:tcPr>
                <w:p w14:paraId="13905B3C" w14:textId="77777777" w:rsidR="002C6D1A" w:rsidRDefault="00B40D42">
                  <w:pPr>
                    <w:jc w:val="center"/>
                    <w:rPr>
                      <w:sz w:val="22"/>
                      <w:szCs w:val="22"/>
                    </w:rPr>
                  </w:pPr>
                  <w:r>
                    <w:rPr>
                      <w:sz w:val="22"/>
                      <w:szCs w:val="22"/>
                    </w:rPr>
                    <w:t xml:space="preserve">Įgyvendintų privalomų matomumo ir informavimo priemonių apie ES </w:t>
                  </w:r>
                  <w:r>
                    <w:rPr>
                      <w:sz w:val="22"/>
                      <w:szCs w:val="22"/>
                    </w:rPr>
                    <w:t>fondų investicijų veiklas fiksuotoji suma, pirmojo rinkinio FS su PVM</w:t>
                  </w:r>
                </w:p>
              </w:tc>
            </w:tr>
            <w:tr w:rsidR="002C6D1A" w14:paraId="5EF1FC32" w14:textId="77777777">
              <w:trPr>
                <w:trHeight w:val="452"/>
              </w:trPr>
              <w:tc>
                <w:tcPr>
                  <w:tcW w:w="861" w:type="dxa"/>
                </w:tcPr>
                <w:p w14:paraId="7E8B91AF" w14:textId="77777777" w:rsidR="002C6D1A" w:rsidRDefault="00B40D42">
                  <w:pPr>
                    <w:jc w:val="center"/>
                    <w:rPr>
                      <w:sz w:val="22"/>
                      <w:szCs w:val="22"/>
                    </w:rPr>
                  </w:pPr>
                  <w:r>
                    <w:rPr>
                      <w:sz w:val="22"/>
                      <w:szCs w:val="22"/>
                    </w:rPr>
                    <w:t>10.3.</w:t>
                  </w:r>
                </w:p>
              </w:tc>
              <w:tc>
                <w:tcPr>
                  <w:tcW w:w="5526" w:type="dxa"/>
                  <w:vMerge w:val="restart"/>
                  <w:vAlign w:val="center"/>
                  <w:hideMark/>
                </w:tcPr>
                <w:p w14:paraId="4B60EC05" w14:textId="77777777" w:rsidR="002C6D1A" w:rsidRDefault="00B40D42">
                  <w:pPr>
                    <w:jc w:val="center"/>
                    <w:rPr>
                      <w:sz w:val="22"/>
                      <w:szCs w:val="22"/>
                    </w:rPr>
                  </w:pPr>
                  <w:r>
                    <w:rPr>
                      <w:sz w:val="22"/>
                      <w:szCs w:val="22"/>
                    </w:rPr>
                    <w:t>Fiksuotosios sumos nustatytos už laikino žvejybos ribojimo laikotarpiu sustabdytą veiklą ir negautas pardavimo pajamas.</w:t>
                  </w:r>
                </w:p>
              </w:tc>
              <w:tc>
                <w:tcPr>
                  <w:tcW w:w="1699" w:type="dxa"/>
                  <w:vAlign w:val="center"/>
                  <w:hideMark/>
                </w:tcPr>
                <w:p w14:paraId="604B68FC" w14:textId="6A540588" w:rsidR="002C6D1A" w:rsidRDefault="00B40D42">
                  <w:pPr>
                    <w:jc w:val="center"/>
                    <w:rPr>
                      <w:sz w:val="22"/>
                      <w:szCs w:val="22"/>
                    </w:rPr>
                  </w:pPr>
                  <w:r>
                    <w:rPr>
                      <w:sz w:val="22"/>
                      <w:szCs w:val="22"/>
                    </w:rPr>
                    <w:t>FS-04-01</w:t>
                  </w:r>
                </w:p>
              </w:tc>
              <w:tc>
                <w:tcPr>
                  <w:tcW w:w="1699" w:type="dxa"/>
                  <w:vAlign w:val="center"/>
                  <w:hideMark/>
                </w:tcPr>
                <w:p w14:paraId="48077E56" w14:textId="77777777" w:rsidR="002C6D1A" w:rsidRDefault="00B40D42">
                  <w:pPr>
                    <w:jc w:val="center"/>
                    <w:rPr>
                      <w:sz w:val="22"/>
                      <w:szCs w:val="22"/>
                    </w:rPr>
                  </w:pPr>
                  <w:r>
                    <w:rPr>
                      <w:sz w:val="22"/>
                      <w:szCs w:val="22"/>
                    </w:rPr>
                    <w:t>-</w:t>
                  </w:r>
                </w:p>
              </w:tc>
              <w:tc>
                <w:tcPr>
                  <w:tcW w:w="4590" w:type="dxa"/>
                  <w:vAlign w:val="center"/>
                  <w:hideMark/>
                </w:tcPr>
                <w:p w14:paraId="62868D92" w14:textId="1D66F017" w:rsidR="002C6D1A" w:rsidRDefault="00B40D42">
                  <w:pPr>
                    <w:jc w:val="center"/>
                    <w:rPr>
                      <w:sz w:val="22"/>
                      <w:szCs w:val="22"/>
                    </w:rPr>
                  </w:pPr>
                  <w:r>
                    <w:rPr>
                      <w:sz w:val="22"/>
                      <w:szCs w:val="22"/>
                    </w:rPr>
                    <w:t xml:space="preserve">Fiksuotoji suma už laikiną žvejybos ribojimą </w:t>
                  </w:r>
                  <w:r>
                    <w:rPr>
                      <w:sz w:val="22"/>
                      <w:szCs w:val="22"/>
                    </w:rPr>
                    <w:t>statomais (žiauniniais) tinklais Baltijos jūros priekrantėje, kai įmonė anksčiau lapkričio–kovo mėn. vidutiniškai žvejojo iki 38 val. (imtinai), be PVM</w:t>
                  </w:r>
                </w:p>
              </w:tc>
            </w:tr>
            <w:tr w:rsidR="002C6D1A" w14:paraId="657EFA5C" w14:textId="77777777">
              <w:trPr>
                <w:trHeight w:val="270"/>
              </w:trPr>
              <w:tc>
                <w:tcPr>
                  <w:tcW w:w="861" w:type="dxa"/>
                </w:tcPr>
                <w:p w14:paraId="0464E20F" w14:textId="77777777" w:rsidR="002C6D1A" w:rsidRDefault="00B40D42">
                  <w:pPr>
                    <w:jc w:val="center"/>
                    <w:rPr>
                      <w:sz w:val="22"/>
                      <w:szCs w:val="22"/>
                    </w:rPr>
                  </w:pPr>
                  <w:r>
                    <w:rPr>
                      <w:sz w:val="22"/>
                      <w:szCs w:val="22"/>
                    </w:rPr>
                    <w:t>10.4.</w:t>
                  </w:r>
                </w:p>
              </w:tc>
              <w:tc>
                <w:tcPr>
                  <w:tcW w:w="5526" w:type="dxa"/>
                  <w:vMerge/>
                  <w:vAlign w:val="center"/>
                  <w:hideMark/>
                </w:tcPr>
                <w:p w14:paraId="2D410F66" w14:textId="77777777" w:rsidR="002C6D1A" w:rsidRDefault="002C6D1A">
                  <w:pPr>
                    <w:rPr>
                      <w:sz w:val="22"/>
                      <w:szCs w:val="22"/>
                    </w:rPr>
                  </w:pPr>
                </w:p>
              </w:tc>
              <w:tc>
                <w:tcPr>
                  <w:tcW w:w="1699" w:type="dxa"/>
                  <w:vAlign w:val="center"/>
                  <w:hideMark/>
                </w:tcPr>
                <w:p w14:paraId="33F88D81" w14:textId="2E8E3D89" w:rsidR="002C6D1A" w:rsidRDefault="00B40D42">
                  <w:pPr>
                    <w:jc w:val="center"/>
                    <w:rPr>
                      <w:sz w:val="22"/>
                      <w:szCs w:val="22"/>
                    </w:rPr>
                  </w:pPr>
                  <w:r>
                    <w:rPr>
                      <w:sz w:val="22"/>
                      <w:szCs w:val="22"/>
                    </w:rPr>
                    <w:t>FS-04-02</w:t>
                  </w:r>
                </w:p>
              </w:tc>
              <w:tc>
                <w:tcPr>
                  <w:tcW w:w="1699" w:type="dxa"/>
                  <w:vAlign w:val="center"/>
                  <w:hideMark/>
                </w:tcPr>
                <w:p w14:paraId="61595259" w14:textId="77777777" w:rsidR="002C6D1A" w:rsidRDefault="00B40D42">
                  <w:pPr>
                    <w:jc w:val="center"/>
                    <w:rPr>
                      <w:sz w:val="22"/>
                      <w:szCs w:val="22"/>
                    </w:rPr>
                  </w:pPr>
                  <w:r>
                    <w:rPr>
                      <w:sz w:val="22"/>
                      <w:szCs w:val="22"/>
                    </w:rPr>
                    <w:t>-</w:t>
                  </w:r>
                </w:p>
              </w:tc>
              <w:tc>
                <w:tcPr>
                  <w:tcW w:w="4590" w:type="dxa"/>
                  <w:vAlign w:val="center"/>
                  <w:hideMark/>
                </w:tcPr>
                <w:p w14:paraId="3AB8FAEC" w14:textId="2E8A97C1" w:rsidR="002C6D1A" w:rsidRDefault="00B40D42">
                  <w:pPr>
                    <w:jc w:val="center"/>
                    <w:rPr>
                      <w:sz w:val="22"/>
                      <w:szCs w:val="22"/>
                    </w:rPr>
                  </w:pPr>
                  <w:r>
                    <w:rPr>
                      <w:sz w:val="22"/>
                      <w:szCs w:val="22"/>
                    </w:rPr>
                    <w:t xml:space="preserve">Fiksuotoji suma už laikiną žvejybos ribojimą statomais (žiauniniais) tinklais </w:t>
                  </w:r>
                  <w:r>
                    <w:rPr>
                      <w:sz w:val="22"/>
                      <w:szCs w:val="22"/>
                    </w:rPr>
                    <w:t>Baltijos jūros priekrantėje, kai įmonė anksčiau lapkričio–kovo mėn. vidutiniškai žvejojo iki 38 val. (imtinai), su PVM</w:t>
                  </w:r>
                </w:p>
              </w:tc>
            </w:tr>
            <w:tr w:rsidR="002C6D1A" w14:paraId="30623413" w14:textId="77777777">
              <w:trPr>
                <w:trHeight w:val="752"/>
              </w:trPr>
              <w:tc>
                <w:tcPr>
                  <w:tcW w:w="861" w:type="dxa"/>
                </w:tcPr>
                <w:p w14:paraId="53579854" w14:textId="77777777" w:rsidR="002C6D1A" w:rsidRDefault="002C6D1A">
                  <w:pPr>
                    <w:jc w:val="center"/>
                    <w:rPr>
                      <w:sz w:val="22"/>
                      <w:szCs w:val="22"/>
                    </w:rPr>
                  </w:pPr>
                </w:p>
                <w:p w14:paraId="627BA07C" w14:textId="77777777" w:rsidR="002C6D1A" w:rsidRDefault="00B40D42">
                  <w:pPr>
                    <w:jc w:val="center"/>
                    <w:rPr>
                      <w:sz w:val="22"/>
                      <w:szCs w:val="22"/>
                    </w:rPr>
                  </w:pPr>
                  <w:r>
                    <w:rPr>
                      <w:sz w:val="22"/>
                      <w:szCs w:val="22"/>
                    </w:rPr>
                    <w:t>10.5.</w:t>
                  </w:r>
                </w:p>
              </w:tc>
              <w:tc>
                <w:tcPr>
                  <w:tcW w:w="5526" w:type="dxa"/>
                  <w:vMerge/>
                  <w:vAlign w:val="center"/>
                  <w:hideMark/>
                </w:tcPr>
                <w:p w14:paraId="3BC8AA4F" w14:textId="77777777" w:rsidR="002C6D1A" w:rsidRDefault="002C6D1A">
                  <w:pPr>
                    <w:rPr>
                      <w:sz w:val="22"/>
                      <w:szCs w:val="22"/>
                    </w:rPr>
                  </w:pPr>
                </w:p>
              </w:tc>
              <w:tc>
                <w:tcPr>
                  <w:tcW w:w="1699" w:type="dxa"/>
                  <w:vAlign w:val="center"/>
                  <w:hideMark/>
                </w:tcPr>
                <w:p w14:paraId="1C3A7CCE" w14:textId="5A490DD3" w:rsidR="002C6D1A" w:rsidRDefault="00B40D42">
                  <w:pPr>
                    <w:jc w:val="center"/>
                    <w:rPr>
                      <w:sz w:val="22"/>
                      <w:szCs w:val="22"/>
                    </w:rPr>
                  </w:pPr>
                  <w:r>
                    <w:rPr>
                      <w:sz w:val="22"/>
                      <w:szCs w:val="22"/>
                    </w:rPr>
                    <w:t>FS-04-03</w:t>
                  </w:r>
                </w:p>
              </w:tc>
              <w:tc>
                <w:tcPr>
                  <w:tcW w:w="1699" w:type="dxa"/>
                  <w:vAlign w:val="center"/>
                  <w:hideMark/>
                </w:tcPr>
                <w:p w14:paraId="0AD2B817" w14:textId="77777777" w:rsidR="002C6D1A" w:rsidRDefault="00B40D42">
                  <w:pPr>
                    <w:jc w:val="center"/>
                    <w:rPr>
                      <w:sz w:val="22"/>
                      <w:szCs w:val="22"/>
                    </w:rPr>
                  </w:pPr>
                  <w:r>
                    <w:rPr>
                      <w:sz w:val="22"/>
                      <w:szCs w:val="22"/>
                    </w:rPr>
                    <w:t>-</w:t>
                  </w:r>
                </w:p>
              </w:tc>
              <w:tc>
                <w:tcPr>
                  <w:tcW w:w="4590" w:type="dxa"/>
                  <w:vAlign w:val="center"/>
                  <w:hideMark/>
                </w:tcPr>
                <w:p w14:paraId="50ED083F" w14:textId="7CDF097B" w:rsidR="002C6D1A" w:rsidRDefault="00B40D42">
                  <w:pPr>
                    <w:jc w:val="center"/>
                    <w:rPr>
                      <w:sz w:val="22"/>
                      <w:szCs w:val="22"/>
                    </w:rPr>
                  </w:pPr>
                  <w:r>
                    <w:rPr>
                      <w:sz w:val="22"/>
                      <w:szCs w:val="22"/>
                    </w:rPr>
                    <w:t xml:space="preserve">Fiksuotoji suma už laikiną žvejybos ribojimą statomais (žiauniniais) tinklais Baltijos jūros priekrantėje, kai įmonė </w:t>
                  </w:r>
                  <w:r>
                    <w:rPr>
                      <w:sz w:val="22"/>
                      <w:szCs w:val="22"/>
                    </w:rPr>
                    <w:t>anksčiau lapkričio–kovo mėn. vidutiniškai žvejojo nuo 39 iki 208 val., be PVM</w:t>
                  </w:r>
                </w:p>
              </w:tc>
            </w:tr>
            <w:tr w:rsidR="002C6D1A" w14:paraId="0DBFE548" w14:textId="77777777">
              <w:trPr>
                <w:trHeight w:val="752"/>
              </w:trPr>
              <w:tc>
                <w:tcPr>
                  <w:tcW w:w="861" w:type="dxa"/>
                </w:tcPr>
                <w:p w14:paraId="427498EA" w14:textId="77777777" w:rsidR="002C6D1A" w:rsidRDefault="002C6D1A">
                  <w:pPr>
                    <w:jc w:val="center"/>
                    <w:rPr>
                      <w:sz w:val="22"/>
                      <w:szCs w:val="22"/>
                    </w:rPr>
                  </w:pPr>
                </w:p>
                <w:p w14:paraId="0E1B24F3" w14:textId="77777777" w:rsidR="002C6D1A" w:rsidRDefault="00B40D42">
                  <w:pPr>
                    <w:jc w:val="center"/>
                    <w:rPr>
                      <w:sz w:val="22"/>
                      <w:szCs w:val="22"/>
                    </w:rPr>
                  </w:pPr>
                  <w:r>
                    <w:rPr>
                      <w:sz w:val="22"/>
                      <w:szCs w:val="22"/>
                    </w:rPr>
                    <w:t>10.6.</w:t>
                  </w:r>
                </w:p>
              </w:tc>
              <w:tc>
                <w:tcPr>
                  <w:tcW w:w="5526" w:type="dxa"/>
                  <w:vMerge/>
                  <w:vAlign w:val="center"/>
                  <w:hideMark/>
                </w:tcPr>
                <w:p w14:paraId="42652CE2" w14:textId="77777777" w:rsidR="002C6D1A" w:rsidRDefault="002C6D1A">
                  <w:pPr>
                    <w:rPr>
                      <w:sz w:val="22"/>
                      <w:szCs w:val="22"/>
                    </w:rPr>
                  </w:pPr>
                </w:p>
              </w:tc>
              <w:tc>
                <w:tcPr>
                  <w:tcW w:w="1699" w:type="dxa"/>
                  <w:vAlign w:val="center"/>
                  <w:hideMark/>
                </w:tcPr>
                <w:p w14:paraId="3E77B331" w14:textId="1AFA6AFB" w:rsidR="002C6D1A" w:rsidRDefault="00B40D42">
                  <w:pPr>
                    <w:jc w:val="center"/>
                    <w:rPr>
                      <w:sz w:val="22"/>
                      <w:szCs w:val="22"/>
                    </w:rPr>
                  </w:pPr>
                  <w:r>
                    <w:rPr>
                      <w:sz w:val="22"/>
                      <w:szCs w:val="22"/>
                    </w:rPr>
                    <w:t>FS-04-04</w:t>
                  </w:r>
                </w:p>
              </w:tc>
              <w:tc>
                <w:tcPr>
                  <w:tcW w:w="1699" w:type="dxa"/>
                  <w:vAlign w:val="center"/>
                  <w:hideMark/>
                </w:tcPr>
                <w:p w14:paraId="11223785" w14:textId="77777777" w:rsidR="002C6D1A" w:rsidRDefault="00B40D42">
                  <w:pPr>
                    <w:jc w:val="center"/>
                    <w:rPr>
                      <w:sz w:val="22"/>
                      <w:szCs w:val="22"/>
                    </w:rPr>
                  </w:pPr>
                  <w:r>
                    <w:rPr>
                      <w:sz w:val="22"/>
                      <w:szCs w:val="22"/>
                    </w:rPr>
                    <w:t>-</w:t>
                  </w:r>
                </w:p>
              </w:tc>
              <w:tc>
                <w:tcPr>
                  <w:tcW w:w="4590" w:type="dxa"/>
                  <w:vAlign w:val="center"/>
                  <w:hideMark/>
                </w:tcPr>
                <w:p w14:paraId="68B89F30" w14:textId="5C7BF7F9" w:rsidR="002C6D1A" w:rsidRDefault="00B40D42">
                  <w:pPr>
                    <w:jc w:val="center"/>
                    <w:rPr>
                      <w:sz w:val="22"/>
                      <w:szCs w:val="22"/>
                    </w:rPr>
                  </w:pPr>
                  <w:r>
                    <w:rPr>
                      <w:sz w:val="22"/>
                      <w:szCs w:val="22"/>
                    </w:rPr>
                    <w:t>Fiksuotoji suma už laikiną žvejybos ribojimą statomais (žiauniniais) tinklais Baltijos jūros priekrantėje, kai įmonė anksčiau lapkričio–kovo mėn. vidutiniškai</w:t>
                  </w:r>
                  <w:r>
                    <w:rPr>
                      <w:sz w:val="22"/>
                      <w:szCs w:val="22"/>
                    </w:rPr>
                    <w:t xml:space="preserve"> žvejojo nuo 39 iki 208 val., su PVM</w:t>
                  </w:r>
                </w:p>
              </w:tc>
            </w:tr>
            <w:tr w:rsidR="002C6D1A" w14:paraId="31A061A0" w14:textId="77777777">
              <w:trPr>
                <w:trHeight w:val="752"/>
              </w:trPr>
              <w:tc>
                <w:tcPr>
                  <w:tcW w:w="861" w:type="dxa"/>
                  <w:vAlign w:val="center"/>
                </w:tcPr>
                <w:p w14:paraId="15CBC3C4" w14:textId="77777777" w:rsidR="002C6D1A" w:rsidRDefault="002C6D1A">
                  <w:pPr>
                    <w:jc w:val="center"/>
                    <w:rPr>
                      <w:sz w:val="22"/>
                      <w:szCs w:val="22"/>
                    </w:rPr>
                  </w:pPr>
                </w:p>
                <w:p w14:paraId="4521EA0E" w14:textId="77777777" w:rsidR="002C6D1A" w:rsidRDefault="00B40D42">
                  <w:pPr>
                    <w:jc w:val="center"/>
                    <w:rPr>
                      <w:sz w:val="22"/>
                      <w:szCs w:val="22"/>
                    </w:rPr>
                  </w:pPr>
                  <w:r>
                    <w:rPr>
                      <w:sz w:val="22"/>
                      <w:szCs w:val="22"/>
                    </w:rPr>
                    <w:t>10.7.</w:t>
                  </w:r>
                </w:p>
              </w:tc>
              <w:tc>
                <w:tcPr>
                  <w:tcW w:w="5526" w:type="dxa"/>
                  <w:vMerge/>
                  <w:vAlign w:val="center"/>
                  <w:hideMark/>
                </w:tcPr>
                <w:p w14:paraId="411CE93D" w14:textId="77777777" w:rsidR="002C6D1A" w:rsidRDefault="002C6D1A">
                  <w:pPr>
                    <w:rPr>
                      <w:sz w:val="22"/>
                      <w:szCs w:val="22"/>
                    </w:rPr>
                  </w:pPr>
                </w:p>
              </w:tc>
              <w:tc>
                <w:tcPr>
                  <w:tcW w:w="1699" w:type="dxa"/>
                  <w:vAlign w:val="center"/>
                  <w:hideMark/>
                </w:tcPr>
                <w:p w14:paraId="0D2C8DF3" w14:textId="402DD4CE" w:rsidR="002C6D1A" w:rsidRDefault="00B40D42">
                  <w:pPr>
                    <w:jc w:val="center"/>
                    <w:rPr>
                      <w:sz w:val="22"/>
                      <w:szCs w:val="22"/>
                    </w:rPr>
                  </w:pPr>
                  <w:r>
                    <w:rPr>
                      <w:sz w:val="22"/>
                      <w:szCs w:val="22"/>
                    </w:rPr>
                    <w:t>FS-04-05</w:t>
                  </w:r>
                </w:p>
              </w:tc>
              <w:tc>
                <w:tcPr>
                  <w:tcW w:w="1699" w:type="dxa"/>
                  <w:vAlign w:val="center"/>
                  <w:hideMark/>
                </w:tcPr>
                <w:p w14:paraId="014E4D04" w14:textId="77777777" w:rsidR="002C6D1A" w:rsidRDefault="00B40D42">
                  <w:pPr>
                    <w:jc w:val="center"/>
                    <w:rPr>
                      <w:sz w:val="22"/>
                      <w:szCs w:val="22"/>
                    </w:rPr>
                  </w:pPr>
                  <w:r>
                    <w:rPr>
                      <w:sz w:val="22"/>
                      <w:szCs w:val="22"/>
                    </w:rPr>
                    <w:t>-</w:t>
                  </w:r>
                </w:p>
              </w:tc>
              <w:tc>
                <w:tcPr>
                  <w:tcW w:w="4590" w:type="dxa"/>
                  <w:vAlign w:val="center"/>
                  <w:hideMark/>
                </w:tcPr>
                <w:p w14:paraId="33ED4C99" w14:textId="76FD76D6" w:rsidR="002C6D1A" w:rsidRDefault="00B40D42">
                  <w:pPr>
                    <w:jc w:val="center"/>
                    <w:rPr>
                      <w:sz w:val="22"/>
                      <w:szCs w:val="22"/>
                    </w:rPr>
                  </w:pPr>
                  <w:r>
                    <w:rPr>
                      <w:sz w:val="22"/>
                      <w:szCs w:val="22"/>
                    </w:rPr>
                    <w:t>Fiksuotoji suma už laikiną žvejybos ribojimą statomais (žiauniniais) tinklais Baltijos jūros priekrantėje, kai įmonė anksčiau lapkričio–kovo mėn. vidutiniškai žvejojo nuo 209 iki 455 val., be PVM</w:t>
                  </w:r>
                </w:p>
              </w:tc>
            </w:tr>
            <w:tr w:rsidR="002C6D1A" w14:paraId="16BDC1CF" w14:textId="77777777">
              <w:trPr>
                <w:trHeight w:val="752"/>
              </w:trPr>
              <w:tc>
                <w:tcPr>
                  <w:tcW w:w="861" w:type="dxa"/>
                  <w:vAlign w:val="center"/>
                </w:tcPr>
                <w:p w14:paraId="70CE0682" w14:textId="77777777" w:rsidR="002C6D1A" w:rsidRDefault="002C6D1A">
                  <w:pPr>
                    <w:jc w:val="center"/>
                    <w:rPr>
                      <w:sz w:val="22"/>
                      <w:szCs w:val="22"/>
                    </w:rPr>
                  </w:pPr>
                </w:p>
                <w:p w14:paraId="2ADCA772" w14:textId="77777777" w:rsidR="002C6D1A" w:rsidRDefault="00B40D42">
                  <w:pPr>
                    <w:jc w:val="center"/>
                    <w:rPr>
                      <w:sz w:val="22"/>
                      <w:szCs w:val="22"/>
                    </w:rPr>
                  </w:pPr>
                  <w:r>
                    <w:rPr>
                      <w:sz w:val="22"/>
                      <w:szCs w:val="22"/>
                    </w:rPr>
                    <w:t>10.8.</w:t>
                  </w:r>
                </w:p>
              </w:tc>
              <w:tc>
                <w:tcPr>
                  <w:tcW w:w="5526" w:type="dxa"/>
                  <w:vMerge/>
                  <w:vAlign w:val="center"/>
                  <w:hideMark/>
                </w:tcPr>
                <w:p w14:paraId="6E10862B" w14:textId="77777777" w:rsidR="002C6D1A" w:rsidRDefault="002C6D1A">
                  <w:pPr>
                    <w:rPr>
                      <w:sz w:val="22"/>
                      <w:szCs w:val="22"/>
                    </w:rPr>
                  </w:pPr>
                </w:p>
              </w:tc>
              <w:tc>
                <w:tcPr>
                  <w:tcW w:w="1699" w:type="dxa"/>
                  <w:vAlign w:val="center"/>
                  <w:hideMark/>
                </w:tcPr>
                <w:p w14:paraId="0AF823F3" w14:textId="22A654CA" w:rsidR="002C6D1A" w:rsidRDefault="00B40D42">
                  <w:pPr>
                    <w:jc w:val="center"/>
                    <w:rPr>
                      <w:sz w:val="22"/>
                      <w:szCs w:val="22"/>
                    </w:rPr>
                  </w:pPr>
                  <w:r>
                    <w:rPr>
                      <w:sz w:val="22"/>
                      <w:szCs w:val="22"/>
                    </w:rPr>
                    <w:t>FS-04-06</w:t>
                  </w:r>
                </w:p>
              </w:tc>
              <w:tc>
                <w:tcPr>
                  <w:tcW w:w="1699" w:type="dxa"/>
                  <w:vAlign w:val="center"/>
                  <w:hideMark/>
                </w:tcPr>
                <w:p w14:paraId="6C87CC5C" w14:textId="77777777" w:rsidR="002C6D1A" w:rsidRDefault="00B40D42">
                  <w:pPr>
                    <w:jc w:val="center"/>
                    <w:rPr>
                      <w:sz w:val="22"/>
                      <w:szCs w:val="22"/>
                    </w:rPr>
                  </w:pPr>
                  <w:r>
                    <w:rPr>
                      <w:sz w:val="22"/>
                      <w:szCs w:val="22"/>
                    </w:rPr>
                    <w:t>-</w:t>
                  </w:r>
                </w:p>
              </w:tc>
              <w:tc>
                <w:tcPr>
                  <w:tcW w:w="4590" w:type="dxa"/>
                  <w:vAlign w:val="center"/>
                  <w:hideMark/>
                </w:tcPr>
                <w:p w14:paraId="30B7D045" w14:textId="387C7978" w:rsidR="002C6D1A" w:rsidRDefault="00B40D42">
                  <w:pPr>
                    <w:jc w:val="center"/>
                    <w:rPr>
                      <w:sz w:val="22"/>
                      <w:szCs w:val="22"/>
                    </w:rPr>
                  </w:pPr>
                  <w:r>
                    <w:rPr>
                      <w:sz w:val="22"/>
                      <w:szCs w:val="22"/>
                    </w:rPr>
                    <w:t>Fiksuotoji suma už laikiną žvejybos ribojimą statomais (žiauniniais) tinklais Baltijos jūros priekrantėje, kai įmonė anksčiau lapkričio–kovo mėn. vidutiniškai žvejojo nuo 209 iki 455 val., su PVM</w:t>
                  </w:r>
                </w:p>
              </w:tc>
            </w:tr>
            <w:tr w:rsidR="002C6D1A" w14:paraId="6E9860C1" w14:textId="77777777">
              <w:trPr>
                <w:trHeight w:val="752"/>
              </w:trPr>
              <w:tc>
                <w:tcPr>
                  <w:tcW w:w="861" w:type="dxa"/>
                  <w:vAlign w:val="center"/>
                </w:tcPr>
                <w:p w14:paraId="08C0D468" w14:textId="77777777" w:rsidR="002C6D1A" w:rsidRDefault="00B40D42">
                  <w:pPr>
                    <w:jc w:val="center"/>
                    <w:rPr>
                      <w:sz w:val="22"/>
                      <w:szCs w:val="22"/>
                    </w:rPr>
                  </w:pPr>
                  <w:r>
                    <w:rPr>
                      <w:sz w:val="22"/>
                      <w:szCs w:val="22"/>
                    </w:rPr>
                    <w:t>10.9.</w:t>
                  </w:r>
                </w:p>
              </w:tc>
              <w:tc>
                <w:tcPr>
                  <w:tcW w:w="5526" w:type="dxa"/>
                  <w:vMerge/>
                  <w:vAlign w:val="center"/>
                </w:tcPr>
                <w:p w14:paraId="68A141B7" w14:textId="77777777" w:rsidR="002C6D1A" w:rsidRDefault="002C6D1A">
                  <w:pPr>
                    <w:rPr>
                      <w:sz w:val="22"/>
                      <w:szCs w:val="22"/>
                    </w:rPr>
                  </w:pPr>
                </w:p>
              </w:tc>
              <w:tc>
                <w:tcPr>
                  <w:tcW w:w="1699" w:type="dxa"/>
                  <w:vAlign w:val="center"/>
                </w:tcPr>
                <w:p w14:paraId="0D630291" w14:textId="023ABDDE" w:rsidR="002C6D1A" w:rsidRDefault="00B40D42">
                  <w:pPr>
                    <w:jc w:val="center"/>
                    <w:rPr>
                      <w:sz w:val="22"/>
                      <w:szCs w:val="22"/>
                    </w:rPr>
                  </w:pPr>
                  <w:r>
                    <w:rPr>
                      <w:sz w:val="22"/>
                      <w:szCs w:val="22"/>
                    </w:rPr>
                    <w:t>FS-04-07</w:t>
                  </w:r>
                </w:p>
              </w:tc>
              <w:tc>
                <w:tcPr>
                  <w:tcW w:w="1699" w:type="dxa"/>
                  <w:vAlign w:val="center"/>
                </w:tcPr>
                <w:p w14:paraId="2A663C89" w14:textId="77777777" w:rsidR="002C6D1A" w:rsidRDefault="00B40D42">
                  <w:pPr>
                    <w:jc w:val="center"/>
                    <w:rPr>
                      <w:sz w:val="22"/>
                      <w:szCs w:val="22"/>
                    </w:rPr>
                  </w:pPr>
                  <w:r>
                    <w:rPr>
                      <w:sz w:val="22"/>
                      <w:szCs w:val="22"/>
                    </w:rPr>
                    <w:t>-</w:t>
                  </w:r>
                </w:p>
              </w:tc>
              <w:tc>
                <w:tcPr>
                  <w:tcW w:w="4590" w:type="dxa"/>
                  <w:vAlign w:val="center"/>
                </w:tcPr>
                <w:p w14:paraId="2F2D0EAA" w14:textId="77D69922" w:rsidR="002C6D1A" w:rsidRDefault="00B40D42">
                  <w:pPr>
                    <w:jc w:val="center"/>
                    <w:rPr>
                      <w:sz w:val="22"/>
                      <w:szCs w:val="22"/>
                    </w:rPr>
                  </w:pPr>
                  <w:r>
                    <w:rPr>
                      <w:sz w:val="22"/>
                      <w:szCs w:val="22"/>
                    </w:rPr>
                    <w:t>Fiksuotoji suma už laik</w:t>
                  </w:r>
                  <w:r>
                    <w:rPr>
                      <w:sz w:val="22"/>
                      <w:szCs w:val="22"/>
                    </w:rPr>
                    <w:t>iną žvejybos ribojimą statomais (žiauniniais) tinklais Baltijos jūros priekrantėje, kai įmonė anksčiau lapkričio–kovo mėn. vidutiniškai žvejojo nuo 446 iki 914 val., be PVM</w:t>
                  </w:r>
                </w:p>
              </w:tc>
            </w:tr>
            <w:tr w:rsidR="002C6D1A" w14:paraId="5B6E15F6" w14:textId="77777777">
              <w:trPr>
                <w:trHeight w:val="752"/>
              </w:trPr>
              <w:tc>
                <w:tcPr>
                  <w:tcW w:w="861" w:type="dxa"/>
                  <w:vAlign w:val="center"/>
                </w:tcPr>
                <w:p w14:paraId="66C4B383" w14:textId="77777777" w:rsidR="002C6D1A" w:rsidRDefault="00B40D42">
                  <w:pPr>
                    <w:jc w:val="center"/>
                    <w:rPr>
                      <w:sz w:val="22"/>
                      <w:szCs w:val="22"/>
                    </w:rPr>
                  </w:pPr>
                  <w:r>
                    <w:rPr>
                      <w:sz w:val="22"/>
                      <w:szCs w:val="22"/>
                    </w:rPr>
                    <w:t>10.10.</w:t>
                  </w:r>
                </w:p>
              </w:tc>
              <w:tc>
                <w:tcPr>
                  <w:tcW w:w="5526" w:type="dxa"/>
                  <w:vMerge/>
                  <w:vAlign w:val="center"/>
                </w:tcPr>
                <w:p w14:paraId="23279BE8" w14:textId="77777777" w:rsidR="002C6D1A" w:rsidRDefault="002C6D1A">
                  <w:pPr>
                    <w:rPr>
                      <w:sz w:val="22"/>
                      <w:szCs w:val="22"/>
                    </w:rPr>
                  </w:pPr>
                </w:p>
              </w:tc>
              <w:tc>
                <w:tcPr>
                  <w:tcW w:w="1699" w:type="dxa"/>
                  <w:vAlign w:val="center"/>
                </w:tcPr>
                <w:p w14:paraId="4194DBAA" w14:textId="1CC8C36E" w:rsidR="002C6D1A" w:rsidRDefault="00B40D42">
                  <w:pPr>
                    <w:jc w:val="center"/>
                    <w:rPr>
                      <w:sz w:val="22"/>
                      <w:szCs w:val="22"/>
                    </w:rPr>
                  </w:pPr>
                  <w:r>
                    <w:rPr>
                      <w:sz w:val="22"/>
                      <w:szCs w:val="22"/>
                    </w:rPr>
                    <w:t>FS-04-08</w:t>
                  </w:r>
                </w:p>
              </w:tc>
              <w:tc>
                <w:tcPr>
                  <w:tcW w:w="1699" w:type="dxa"/>
                  <w:vAlign w:val="center"/>
                </w:tcPr>
                <w:p w14:paraId="06BBCE12" w14:textId="77777777" w:rsidR="002C6D1A" w:rsidRDefault="00B40D42">
                  <w:pPr>
                    <w:jc w:val="center"/>
                    <w:rPr>
                      <w:sz w:val="22"/>
                      <w:szCs w:val="22"/>
                    </w:rPr>
                  </w:pPr>
                  <w:r>
                    <w:rPr>
                      <w:sz w:val="22"/>
                      <w:szCs w:val="22"/>
                    </w:rPr>
                    <w:t>-</w:t>
                  </w:r>
                </w:p>
              </w:tc>
              <w:tc>
                <w:tcPr>
                  <w:tcW w:w="4590" w:type="dxa"/>
                  <w:vAlign w:val="center"/>
                </w:tcPr>
                <w:p w14:paraId="6DDD3CB0" w14:textId="25873F29" w:rsidR="002C6D1A" w:rsidRDefault="00B40D42">
                  <w:pPr>
                    <w:jc w:val="center"/>
                    <w:rPr>
                      <w:sz w:val="22"/>
                      <w:szCs w:val="22"/>
                    </w:rPr>
                  </w:pPr>
                  <w:r>
                    <w:rPr>
                      <w:sz w:val="22"/>
                      <w:szCs w:val="22"/>
                    </w:rPr>
                    <w:t xml:space="preserve">Fiksuotoji suma už laikiną žvejybos ribojimą statomais </w:t>
                  </w:r>
                  <w:r>
                    <w:rPr>
                      <w:sz w:val="22"/>
                      <w:szCs w:val="22"/>
                    </w:rPr>
                    <w:t>(žiauniniais) tinklais Baltijos jūros priekrantėje, kai įmonė anksčiau lapkričio–kovo mėn. vidutiniškai žvejojo nuo 446 iki 914 val., su PVM</w:t>
                  </w:r>
                </w:p>
              </w:tc>
            </w:tr>
            <w:tr w:rsidR="002C6D1A" w14:paraId="608DB746" w14:textId="77777777">
              <w:trPr>
                <w:trHeight w:val="752"/>
              </w:trPr>
              <w:tc>
                <w:tcPr>
                  <w:tcW w:w="861" w:type="dxa"/>
                  <w:vAlign w:val="center"/>
                </w:tcPr>
                <w:p w14:paraId="294D591B" w14:textId="77777777" w:rsidR="002C6D1A" w:rsidRDefault="002C6D1A">
                  <w:pPr>
                    <w:jc w:val="center"/>
                    <w:rPr>
                      <w:sz w:val="22"/>
                      <w:szCs w:val="22"/>
                    </w:rPr>
                  </w:pPr>
                </w:p>
                <w:p w14:paraId="17603960" w14:textId="77777777" w:rsidR="002C6D1A" w:rsidRDefault="00B40D42">
                  <w:pPr>
                    <w:jc w:val="center"/>
                    <w:rPr>
                      <w:sz w:val="22"/>
                      <w:szCs w:val="22"/>
                    </w:rPr>
                  </w:pPr>
                  <w:r>
                    <w:rPr>
                      <w:sz w:val="22"/>
                      <w:szCs w:val="22"/>
                    </w:rPr>
                    <w:t>10.11.</w:t>
                  </w:r>
                </w:p>
              </w:tc>
              <w:tc>
                <w:tcPr>
                  <w:tcW w:w="5526" w:type="dxa"/>
                  <w:vMerge/>
                  <w:vAlign w:val="center"/>
                </w:tcPr>
                <w:p w14:paraId="6185E62C" w14:textId="77777777" w:rsidR="002C6D1A" w:rsidRDefault="002C6D1A">
                  <w:pPr>
                    <w:rPr>
                      <w:sz w:val="22"/>
                      <w:szCs w:val="22"/>
                    </w:rPr>
                  </w:pPr>
                </w:p>
              </w:tc>
              <w:tc>
                <w:tcPr>
                  <w:tcW w:w="1699" w:type="dxa"/>
                  <w:vAlign w:val="center"/>
                </w:tcPr>
                <w:p w14:paraId="68DC1F11" w14:textId="47FF540E" w:rsidR="002C6D1A" w:rsidRDefault="00B40D42">
                  <w:pPr>
                    <w:jc w:val="center"/>
                    <w:rPr>
                      <w:sz w:val="22"/>
                      <w:szCs w:val="22"/>
                    </w:rPr>
                  </w:pPr>
                  <w:r>
                    <w:rPr>
                      <w:sz w:val="22"/>
                      <w:szCs w:val="22"/>
                    </w:rPr>
                    <w:t>FS-04-09</w:t>
                  </w:r>
                </w:p>
              </w:tc>
              <w:tc>
                <w:tcPr>
                  <w:tcW w:w="1699" w:type="dxa"/>
                  <w:vAlign w:val="center"/>
                </w:tcPr>
                <w:p w14:paraId="5FA0BD65" w14:textId="77777777" w:rsidR="002C6D1A" w:rsidRDefault="00B40D42">
                  <w:pPr>
                    <w:jc w:val="center"/>
                    <w:rPr>
                      <w:sz w:val="22"/>
                      <w:szCs w:val="22"/>
                    </w:rPr>
                  </w:pPr>
                  <w:r>
                    <w:rPr>
                      <w:sz w:val="22"/>
                      <w:szCs w:val="22"/>
                    </w:rPr>
                    <w:t>-</w:t>
                  </w:r>
                </w:p>
              </w:tc>
              <w:tc>
                <w:tcPr>
                  <w:tcW w:w="4590" w:type="dxa"/>
                  <w:vAlign w:val="center"/>
                </w:tcPr>
                <w:p w14:paraId="348EACF3" w14:textId="782F4474" w:rsidR="002C6D1A" w:rsidRDefault="00B40D42">
                  <w:pPr>
                    <w:jc w:val="center"/>
                    <w:rPr>
                      <w:sz w:val="22"/>
                      <w:szCs w:val="22"/>
                    </w:rPr>
                  </w:pPr>
                  <w:r>
                    <w:rPr>
                      <w:sz w:val="22"/>
                      <w:szCs w:val="22"/>
                    </w:rPr>
                    <w:t>Fiksuotoji suma už laikiną žvejybos ribojimą statomais (žiauniniais) tinklais Baltijos jūros p</w:t>
                  </w:r>
                  <w:r>
                    <w:rPr>
                      <w:sz w:val="22"/>
                      <w:szCs w:val="22"/>
                    </w:rPr>
                    <w:t>riekrantėje, kai įmonė anksčiau lapkričio–kovo mėn. vidutiniškai žvejojo nuo 915 iki 1759  val., be PVM</w:t>
                  </w:r>
                </w:p>
              </w:tc>
            </w:tr>
            <w:tr w:rsidR="002C6D1A" w14:paraId="47A07CF1" w14:textId="77777777">
              <w:trPr>
                <w:trHeight w:val="752"/>
              </w:trPr>
              <w:tc>
                <w:tcPr>
                  <w:tcW w:w="861" w:type="dxa"/>
                  <w:vAlign w:val="center"/>
                </w:tcPr>
                <w:p w14:paraId="37BCDFD5" w14:textId="77777777" w:rsidR="002C6D1A" w:rsidRDefault="002C6D1A">
                  <w:pPr>
                    <w:jc w:val="center"/>
                    <w:rPr>
                      <w:sz w:val="22"/>
                      <w:szCs w:val="22"/>
                    </w:rPr>
                  </w:pPr>
                </w:p>
                <w:p w14:paraId="63E3BB54" w14:textId="77777777" w:rsidR="002C6D1A" w:rsidRDefault="00B40D42">
                  <w:pPr>
                    <w:jc w:val="center"/>
                    <w:rPr>
                      <w:sz w:val="22"/>
                      <w:szCs w:val="22"/>
                    </w:rPr>
                  </w:pPr>
                  <w:r>
                    <w:rPr>
                      <w:sz w:val="22"/>
                      <w:szCs w:val="22"/>
                    </w:rPr>
                    <w:t>10.12.</w:t>
                  </w:r>
                </w:p>
              </w:tc>
              <w:tc>
                <w:tcPr>
                  <w:tcW w:w="5526" w:type="dxa"/>
                  <w:vMerge/>
                  <w:vAlign w:val="center"/>
                </w:tcPr>
                <w:p w14:paraId="32967443" w14:textId="77777777" w:rsidR="002C6D1A" w:rsidRDefault="002C6D1A">
                  <w:pPr>
                    <w:rPr>
                      <w:sz w:val="22"/>
                      <w:szCs w:val="22"/>
                    </w:rPr>
                  </w:pPr>
                </w:p>
              </w:tc>
              <w:tc>
                <w:tcPr>
                  <w:tcW w:w="1699" w:type="dxa"/>
                  <w:vAlign w:val="center"/>
                </w:tcPr>
                <w:p w14:paraId="50F6F3A6" w14:textId="741B974C" w:rsidR="002C6D1A" w:rsidRDefault="00B40D42">
                  <w:pPr>
                    <w:jc w:val="center"/>
                    <w:rPr>
                      <w:sz w:val="22"/>
                      <w:szCs w:val="22"/>
                    </w:rPr>
                  </w:pPr>
                  <w:r>
                    <w:rPr>
                      <w:sz w:val="22"/>
                      <w:szCs w:val="22"/>
                    </w:rPr>
                    <w:t>FS-04-10</w:t>
                  </w:r>
                </w:p>
              </w:tc>
              <w:tc>
                <w:tcPr>
                  <w:tcW w:w="1699" w:type="dxa"/>
                  <w:vAlign w:val="center"/>
                </w:tcPr>
                <w:p w14:paraId="2CEE01D2" w14:textId="77777777" w:rsidR="002C6D1A" w:rsidRDefault="00B40D42">
                  <w:pPr>
                    <w:jc w:val="center"/>
                    <w:rPr>
                      <w:sz w:val="22"/>
                      <w:szCs w:val="22"/>
                    </w:rPr>
                  </w:pPr>
                  <w:r>
                    <w:rPr>
                      <w:sz w:val="22"/>
                      <w:szCs w:val="22"/>
                    </w:rPr>
                    <w:t>-</w:t>
                  </w:r>
                </w:p>
              </w:tc>
              <w:tc>
                <w:tcPr>
                  <w:tcW w:w="4590" w:type="dxa"/>
                  <w:vAlign w:val="center"/>
                </w:tcPr>
                <w:p w14:paraId="41C898F3" w14:textId="3A11F73A" w:rsidR="002C6D1A" w:rsidRDefault="00B40D42">
                  <w:pPr>
                    <w:jc w:val="center"/>
                    <w:rPr>
                      <w:sz w:val="22"/>
                      <w:szCs w:val="22"/>
                    </w:rPr>
                  </w:pPr>
                  <w:r>
                    <w:rPr>
                      <w:sz w:val="22"/>
                      <w:szCs w:val="22"/>
                    </w:rPr>
                    <w:t xml:space="preserve">Fiksuotoji suma už laikiną žvejybos ribojimą statomais (žiauniniais) tinklais Baltijos jūros priekrantėje, kai įmonė anksčiau </w:t>
                  </w:r>
                  <w:r>
                    <w:rPr>
                      <w:sz w:val="22"/>
                      <w:szCs w:val="22"/>
                    </w:rPr>
                    <w:t>lapkričio–kovo mėn. vidutiniškai žvejojo nuo 915 iki 1759 val., su PVM</w:t>
                  </w:r>
                </w:p>
              </w:tc>
            </w:tr>
            <w:tr w:rsidR="002C6D1A" w14:paraId="48A6C61D" w14:textId="77777777">
              <w:trPr>
                <w:trHeight w:val="752"/>
              </w:trPr>
              <w:tc>
                <w:tcPr>
                  <w:tcW w:w="861" w:type="dxa"/>
                  <w:vAlign w:val="center"/>
                </w:tcPr>
                <w:p w14:paraId="72E5FB25" w14:textId="77777777" w:rsidR="002C6D1A" w:rsidRDefault="002C6D1A">
                  <w:pPr>
                    <w:jc w:val="center"/>
                    <w:rPr>
                      <w:sz w:val="22"/>
                      <w:szCs w:val="22"/>
                    </w:rPr>
                  </w:pPr>
                </w:p>
                <w:p w14:paraId="7BE0B339" w14:textId="77777777" w:rsidR="002C6D1A" w:rsidRDefault="00B40D42">
                  <w:pPr>
                    <w:jc w:val="center"/>
                    <w:rPr>
                      <w:sz w:val="22"/>
                      <w:szCs w:val="22"/>
                    </w:rPr>
                  </w:pPr>
                  <w:r>
                    <w:rPr>
                      <w:sz w:val="22"/>
                      <w:szCs w:val="22"/>
                    </w:rPr>
                    <w:t>10.13.</w:t>
                  </w:r>
                </w:p>
              </w:tc>
              <w:tc>
                <w:tcPr>
                  <w:tcW w:w="5526" w:type="dxa"/>
                  <w:vMerge/>
                  <w:vAlign w:val="center"/>
                </w:tcPr>
                <w:p w14:paraId="76488A6A" w14:textId="77777777" w:rsidR="002C6D1A" w:rsidRDefault="002C6D1A">
                  <w:pPr>
                    <w:rPr>
                      <w:sz w:val="22"/>
                      <w:szCs w:val="22"/>
                    </w:rPr>
                  </w:pPr>
                </w:p>
              </w:tc>
              <w:tc>
                <w:tcPr>
                  <w:tcW w:w="1699" w:type="dxa"/>
                  <w:vAlign w:val="center"/>
                </w:tcPr>
                <w:p w14:paraId="57F2F653" w14:textId="00112DE7" w:rsidR="002C6D1A" w:rsidRDefault="00B40D42">
                  <w:pPr>
                    <w:jc w:val="center"/>
                    <w:rPr>
                      <w:sz w:val="22"/>
                      <w:szCs w:val="22"/>
                    </w:rPr>
                  </w:pPr>
                  <w:r>
                    <w:rPr>
                      <w:sz w:val="22"/>
                      <w:szCs w:val="22"/>
                    </w:rPr>
                    <w:t>FS-04-11</w:t>
                  </w:r>
                </w:p>
              </w:tc>
              <w:tc>
                <w:tcPr>
                  <w:tcW w:w="1699" w:type="dxa"/>
                  <w:vAlign w:val="center"/>
                </w:tcPr>
                <w:p w14:paraId="1EE0A4B2" w14:textId="77777777" w:rsidR="002C6D1A" w:rsidRDefault="00B40D42">
                  <w:pPr>
                    <w:jc w:val="center"/>
                    <w:rPr>
                      <w:sz w:val="22"/>
                      <w:szCs w:val="22"/>
                    </w:rPr>
                  </w:pPr>
                  <w:r>
                    <w:rPr>
                      <w:sz w:val="22"/>
                      <w:szCs w:val="22"/>
                    </w:rPr>
                    <w:t>-</w:t>
                  </w:r>
                </w:p>
              </w:tc>
              <w:tc>
                <w:tcPr>
                  <w:tcW w:w="4590" w:type="dxa"/>
                  <w:vAlign w:val="center"/>
                </w:tcPr>
                <w:p w14:paraId="2B1B12A3" w14:textId="12DD31A1" w:rsidR="002C6D1A" w:rsidRDefault="00B40D42">
                  <w:pPr>
                    <w:jc w:val="center"/>
                    <w:rPr>
                      <w:sz w:val="22"/>
                      <w:szCs w:val="22"/>
                    </w:rPr>
                  </w:pPr>
                  <w:r>
                    <w:rPr>
                      <w:sz w:val="22"/>
                      <w:szCs w:val="22"/>
                    </w:rPr>
                    <w:t>Fiksuotoji suma už laikiną žvejybos ribojimą statomais (žiauniniais) tinklais Baltijos jūros priekrantėje, kai įmonė anksčiau lapkričio–kovo mėn. vidutiniškai žvejo</w:t>
                  </w:r>
                  <w:r>
                    <w:rPr>
                      <w:sz w:val="22"/>
                      <w:szCs w:val="22"/>
                    </w:rPr>
                    <w:t>jo nuo 1760 val. ir daugiau, be PVM</w:t>
                  </w:r>
                </w:p>
              </w:tc>
            </w:tr>
            <w:tr w:rsidR="002C6D1A" w14:paraId="403206DB" w14:textId="77777777">
              <w:trPr>
                <w:trHeight w:val="752"/>
              </w:trPr>
              <w:tc>
                <w:tcPr>
                  <w:tcW w:w="861" w:type="dxa"/>
                </w:tcPr>
                <w:p w14:paraId="410B2AA4" w14:textId="77777777" w:rsidR="002C6D1A" w:rsidRDefault="002C6D1A">
                  <w:pPr>
                    <w:jc w:val="center"/>
                    <w:rPr>
                      <w:sz w:val="22"/>
                      <w:szCs w:val="22"/>
                    </w:rPr>
                  </w:pPr>
                </w:p>
                <w:p w14:paraId="646FA2D4" w14:textId="77777777" w:rsidR="002C6D1A" w:rsidRDefault="00B40D42">
                  <w:pPr>
                    <w:jc w:val="center"/>
                    <w:rPr>
                      <w:sz w:val="22"/>
                      <w:szCs w:val="22"/>
                    </w:rPr>
                  </w:pPr>
                  <w:r>
                    <w:rPr>
                      <w:sz w:val="22"/>
                      <w:szCs w:val="22"/>
                    </w:rPr>
                    <w:t>10.14.</w:t>
                  </w:r>
                </w:p>
              </w:tc>
              <w:tc>
                <w:tcPr>
                  <w:tcW w:w="5526" w:type="dxa"/>
                  <w:vMerge/>
                  <w:vAlign w:val="center"/>
                </w:tcPr>
                <w:p w14:paraId="29C68345" w14:textId="77777777" w:rsidR="002C6D1A" w:rsidRDefault="002C6D1A">
                  <w:pPr>
                    <w:rPr>
                      <w:sz w:val="22"/>
                      <w:szCs w:val="22"/>
                    </w:rPr>
                  </w:pPr>
                </w:p>
              </w:tc>
              <w:tc>
                <w:tcPr>
                  <w:tcW w:w="1699" w:type="dxa"/>
                  <w:vAlign w:val="center"/>
                </w:tcPr>
                <w:p w14:paraId="3FA6C941" w14:textId="4B5C79B0" w:rsidR="002C6D1A" w:rsidRDefault="00B40D42">
                  <w:pPr>
                    <w:jc w:val="center"/>
                    <w:rPr>
                      <w:sz w:val="22"/>
                      <w:szCs w:val="22"/>
                    </w:rPr>
                  </w:pPr>
                  <w:r>
                    <w:rPr>
                      <w:sz w:val="22"/>
                      <w:szCs w:val="22"/>
                    </w:rPr>
                    <w:t>FS-04-12</w:t>
                  </w:r>
                </w:p>
              </w:tc>
              <w:tc>
                <w:tcPr>
                  <w:tcW w:w="1699" w:type="dxa"/>
                  <w:vAlign w:val="center"/>
                </w:tcPr>
                <w:p w14:paraId="7C839E9F" w14:textId="77777777" w:rsidR="002C6D1A" w:rsidRDefault="00B40D42">
                  <w:pPr>
                    <w:jc w:val="center"/>
                    <w:rPr>
                      <w:sz w:val="22"/>
                      <w:szCs w:val="22"/>
                    </w:rPr>
                  </w:pPr>
                  <w:r>
                    <w:rPr>
                      <w:sz w:val="22"/>
                      <w:szCs w:val="22"/>
                    </w:rPr>
                    <w:t>-</w:t>
                  </w:r>
                </w:p>
              </w:tc>
              <w:tc>
                <w:tcPr>
                  <w:tcW w:w="4590" w:type="dxa"/>
                  <w:vAlign w:val="center"/>
                </w:tcPr>
                <w:p w14:paraId="60693C0F" w14:textId="5AC012A4" w:rsidR="002C6D1A" w:rsidRDefault="00B40D42">
                  <w:pPr>
                    <w:jc w:val="center"/>
                    <w:rPr>
                      <w:sz w:val="22"/>
                      <w:szCs w:val="22"/>
                    </w:rPr>
                  </w:pPr>
                  <w:r>
                    <w:rPr>
                      <w:sz w:val="22"/>
                      <w:szCs w:val="22"/>
                    </w:rPr>
                    <w:t>Fiksuotoji suma už laikiną žvejybos ribojimą statomais (žiauniniais) tinklais Baltijos jūros priekrantėje, kai įmonė anksčiau lapkričio–kovo mėn. vidutiniškai žvejojo nuo 1760 val. ir daugiau, su PVM</w:t>
                  </w:r>
                </w:p>
              </w:tc>
            </w:tr>
          </w:tbl>
          <w:p w14:paraId="5A3DDF9E" w14:textId="77777777" w:rsidR="002C6D1A" w:rsidRDefault="002C6D1A">
            <w:pPr>
              <w:spacing w:line="360" w:lineRule="auto"/>
              <w:jc w:val="both"/>
              <w:rPr>
                <w:i/>
                <w:iCs/>
                <w:sz w:val="22"/>
                <w:szCs w:val="22"/>
              </w:rPr>
            </w:pPr>
          </w:p>
        </w:tc>
      </w:tr>
    </w:tbl>
    <w:p w14:paraId="4BD2E0E2" w14:textId="77777777" w:rsidR="002C6D1A" w:rsidRDefault="002C6D1A">
      <w:pPr>
        <w:spacing w:line="276" w:lineRule="auto"/>
        <w:rPr>
          <w:rFonts w:eastAsia="Calibri"/>
          <w:sz w:val="22"/>
          <w:szCs w:val="22"/>
        </w:rPr>
      </w:pPr>
    </w:p>
    <w:p w14:paraId="740A2B6B" w14:textId="77777777" w:rsidR="002C6D1A" w:rsidRDefault="002C6D1A">
      <w:pPr>
        <w:rPr>
          <w:sz w:val="22"/>
          <w:szCs w:val="22"/>
        </w:rPr>
      </w:pPr>
    </w:p>
    <w:p w14:paraId="4530A899" w14:textId="77777777" w:rsidR="002C6D1A" w:rsidRDefault="00B40D42">
      <w:pPr>
        <w:spacing w:line="276" w:lineRule="auto"/>
        <w:jc w:val="center"/>
        <w:rPr>
          <w:rFonts w:eastAsia="Calibri"/>
          <w:sz w:val="22"/>
          <w:szCs w:val="22"/>
        </w:rPr>
      </w:pPr>
      <w:r>
        <w:rPr>
          <w:rFonts w:eastAsia="Calibri"/>
          <w:sz w:val="22"/>
          <w:szCs w:val="22"/>
        </w:rPr>
        <w:t>________________________________</w:t>
      </w:r>
    </w:p>
    <w:p w14:paraId="76C0D1D1" w14:textId="77777777" w:rsidR="002C6D1A" w:rsidRDefault="00B40D42">
      <w:pPr>
        <w:rPr>
          <w:sz w:val="20"/>
        </w:rPr>
      </w:pPr>
    </w:p>
    <w:sectPr w:rsidR="002C6D1A" w:rsidSect="00B40D4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24E9C" w14:textId="77777777" w:rsidR="002C6D1A" w:rsidRDefault="00B40D42">
      <w:pPr>
        <w:rPr>
          <w:sz w:val="22"/>
          <w:szCs w:val="22"/>
        </w:rPr>
      </w:pPr>
      <w:r>
        <w:rPr>
          <w:sz w:val="22"/>
          <w:szCs w:val="22"/>
        </w:rPr>
        <w:separator/>
      </w:r>
    </w:p>
  </w:endnote>
  <w:endnote w:type="continuationSeparator" w:id="0">
    <w:p w14:paraId="2B164F0C" w14:textId="77777777" w:rsidR="002C6D1A" w:rsidRDefault="00B40D42">
      <w:pPr>
        <w:rPr>
          <w:sz w:val="22"/>
          <w:szCs w:val="22"/>
        </w:rPr>
      </w:pPr>
      <w:r>
        <w:rPr>
          <w:sz w:val="22"/>
          <w:szCs w:val="22"/>
        </w:rPr>
        <w:continuationSeparator/>
      </w:r>
    </w:p>
  </w:endnote>
  <w:endnote w:type="continuationNotice" w:id="1">
    <w:p w14:paraId="5985CF56" w14:textId="77777777" w:rsidR="002C6D1A" w:rsidRDefault="002C6D1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5FC04" w14:textId="77777777" w:rsidR="002C6D1A" w:rsidRDefault="002C6D1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4D09" w14:textId="77777777" w:rsidR="002C6D1A" w:rsidRDefault="002C6D1A">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7F6E" w14:textId="77777777" w:rsidR="002C6D1A" w:rsidRDefault="002C6D1A">
    <w:pPr>
      <w:tabs>
        <w:tab w:val="center" w:pos="4680"/>
        <w:tab w:val="right" w:pos="9360"/>
      </w:tabs>
      <w:jc w:val="center"/>
      <w:rPr>
        <w:sz w:val="22"/>
        <w:szCs w:val="22"/>
        <w:lang w:eastAsia="lt-LT"/>
      </w:rPr>
    </w:pPr>
  </w:p>
  <w:p w14:paraId="5C6368B0" w14:textId="77777777" w:rsidR="002C6D1A" w:rsidRDefault="002C6D1A">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DCBA4" w14:textId="77777777" w:rsidR="002C6D1A" w:rsidRDefault="00B40D42">
      <w:pPr>
        <w:rPr>
          <w:sz w:val="22"/>
          <w:szCs w:val="22"/>
        </w:rPr>
      </w:pPr>
      <w:r>
        <w:rPr>
          <w:sz w:val="22"/>
          <w:szCs w:val="22"/>
        </w:rPr>
        <w:separator/>
      </w:r>
    </w:p>
  </w:footnote>
  <w:footnote w:type="continuationSeparator" w:id="0">
    <w:p w14:paraId="369619DA" w14:textId="77777777" w:rsidR="002C6D1A" w:rsidRDefault="00B40D42">
      <w:pPr>
        <w:rPr>
          <w:sz w:val="22"/>
          <w:szCs w:val="22"/>
        </w:rPr>
      </w:pPr>
      <w:r>
        <w:rPr>
          <w:sz w:val="22"/>
          <w:szCs w:val="22"/>
        </w:rPr>
        <w:continuationSeparator/>
      </w:r>
    </w:p>
  </w:footnote>
  <w:footnote w:type="continuationNotice" w:id="1">
    <w:p w14:paraId="0BB32A57" w14:textId="77777777" w:rsidR="002C6D1A" w:rsidRDefault="002C6D1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1938" w14:textId="77777777" w:rsidR="002C6D1A" w:rsidRDefault="002C6D1A">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A887" w14:textId="19768C82" w:rsidR="002C6D1A" w:rsidRDefault="00B40D4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9</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D6568" w14:textId="77777777" w:rsidR="002C6D1A" w:rsidRDefault="002C6D1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2C6D1A"/>
    <w:rsid w:val="00A361B0"/>
    <w:rsid w:val="00B40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54878"/>
  <w15:docId w15:val="{BCAFA5FE-85E2-470E-9CB2-9FBDE549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58989463">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48272225">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32776620">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573394383">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614680587">
          <w:marLeft w:val="0"/>
          <w:marRight w:val="0"/>
          <w:marTop w:val="0"/>
          <w:marBottom w:val="0"/>
          <w:divBdr>
            <w:top w:val="none" w:sz="0" w:space="0" w:color="auto"/>
            <w:left w:val="none" w:sz="0" w:space="0" w:color="auto"/>
            <w:bottom w:val="none" w:sz="0" w:space="0" w:color="auto"/>
            <w:right w:val="none" w:sz="0" w:space="0" w:color="auto"/>
          </w:divBdr>
        </w:div>
        <w:div w:id="775439935">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 w:id="1267612576">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sChild>
    </w:div>
    <w:div w:id="762534783">
      <w:bodyDiv w:val="1"/>
      <w:marLeft w:val="0"/>
      <w:marRight w:val="0"/>
      <w:marTop w:val="0"/>
      <w:marBottom w:val="0"/>
      <w:divBdr>
        <w:top w:val="none" w:sz="0" w:space="0" w:color="auto"/>
        <w:left w:val="none" w:sz="0" w:space="0" w:color="auto"/>
        <w:bottom w:val="none" w:sz="0" w:space="0" w:color="auto"/>
        <w:right w:val="none" w:sz="0" w:space="0" w:color="auto"/>
      </w:divBdr>
    </w:div>
    <w:div w:id="8328352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106147658">
      <w:bodyDiv w:val="1"/>
      <w:marLeft w:val="0"/>
      <w:marRight w:val="0"/>
      <w:marTop w:val="0"/>
      <w:marBottom w:val="0"/>
      <w:divBdr>
        <w:top w:val="none" w:sz="0" w:space="0" w:color="auto"/>
        <w:left w:val="none" w:sz="0" w:space="0" w:color="auto"/>
        <w:bottom w:val="none" w:sz="0" w:space="0" w:color="auto"/>
        <w:right w:val="none" w:sz="0" w:space="0" w:color="auto"/>
      </w:divBdr>
    </w:div>
    <w:div w:id="1183014931">
      <w:bodyDiv w:val="1"/>
      <w:marLeft w:val="0"/>
      <w:marRight w:val="0"/>
      <w:marTop w:val="0"/>
      <w:marBottom w:val="0"/>
      <w:divBdr>
        <w:top w:val="none" w:sz="0" w:space="0" w:color="auto"/>
        <w:left w:val="none" w:sz="0" w:space="0" w:color="auto"/>
        <w:bottom w:val="none" w:sz="0" w:space="0" w:color="auto"/>
        <w:right w:val="none" w:sz="0" w:space="0" w:color="auto"/>
      </w:divBdr>
    </w:div>
    <w:div w:id="1346981967">
      <w:bodyDiv w:val="1"/>
      <w:marLeft w:val="0"/>
      <w:marRight w:val="0"/>
      <w:marTop w:val="0"/>
      <w:marBottom w:val="0"/>
      <w:divBdr>
        <w:top w:val="none" w:sz="0" w:space="0" w:color="auto"/>
        <w:left w:val="none" w:sz="0" w:space="0" w:color="auto"/>
        <w:bottom w:val="none" w:sz="0" w:space="0" w:color="auto"/>
        <w:right w:val="none" w:sz="0" w:space="0" w:color="auto"/>
      </w:divBdr>
    </w:div>
    <w:div w:id="1361131219">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19082544">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260456465">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1994026120">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 w:id="1124033246">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00093837">
      <w:bodyDiv w:val="1"/>
      <w:marLeft w:val="0"/>
      <w:marRight w:val="0"/>
      <w:marTop w:val="0"/>
      <w:marBottom w:val="0"/>
      <w:divBdr>
        <w:top w:val="none" w:sz="0" w:space="0" w:color="auto"/>
        <w:left w:val="none" w:sz="0" w:space="0" w:color="auto"/>
        <w:bottom w:val="none" w:sz="0" w:space="0" w:color="auto"/>
        <w:right w:val="none" w:sz="0" w:space="0" w:color="auto"/>
      </w:divBdr>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37316441">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423526875">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157507153">
              <w:marLeft w:val="0"/>
              <w:marRight w:val="0"/>
              <w:marTop w:val="0"/>
              <w:marBottom w:val="0"/>
              <w:divBdr>
                <w:top w:val="none" w:sz="0" w:space="0" w:color="auto"/>
                <w:left w:val="none" w:sz="0" w:space="0" w:color="auto"/>
                <w:bottom w:val="none" w:sz="0" w:space="0" w:color="auto"/>
                <w:right w:val="none" w:sz="0" w:space="0" w:color="auto"/>
              </w:divBdr>
              <w:divsChild>
                <w:div w:id="54472481">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1517843175">
                  <w:marLeft w:val="0"/>
                  <w:marRight w:val="0"/>
                  <w:marTop w:val="0"/>
                  <w:marBottom w:val="0"/>
                  <w:divBdr>
                    <w:top w:val="none" w:sz="0" w:space="0" w:color="auto"/>
                    <w:left w:val="none" w:sz="0" w:space="0" w:color="auto"/>
                    <w:bottom w:val="none" w:sz="0" w:space="0" w:color="auto"/>
                    <w:right w:val="none" w:sz="0" w:space="0" w:color="auto"/>
                  </w:divBdr>
                </w:div>
              </w:divsChild>
            </w:div>
            <w:div w:id="627443274">
              <w:marLeft w:val="0"/>
              <w:marRight w:val="0"/>
              <w:marTop w:val="0"/>
              <w:marBottom w:val="0"/>
              <w:divBdr>
                <w:top w:val="none" w:sz="0" w:space="0" w:color="auto"/>
                <w:left w:val="none" w:sz="0" w:space="0" w:color="auto"/>
                <w:bottom w:val="none" w:sz="0" w:space="0" w:color="auto"/>
                <w:right w:val="none" w:sz="0" w:space="0" w:color="auto"/>
              </w:divBdr>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5C9E9A-BFBE-4759-86A0-A80916F7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12470</Words>
  <Characters>7109</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19540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2024-09-10T05:09:00Z</dcterms:created>
  <dc:creator>Virginija Levinskienė</dc:creator>
  <lastModifiedBy>JŪRĖNIENĖ Jolanta</lastModifiedBy>
  <dcterms:modified xsi:type="dcterms:W3CDTF">2024-09-10T05:44:00Z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