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7D3E5" w14:textId="77777777" w:rsidR="00A66196" w:rsidRDefault="001D42FE" w:rsidP="001D42FE">
      <w:pPr>
        <w:overflowPunct w:val="0"/>
        <w:jc w:val="center"/>
        <w:textAlignment w:val="baseline"/>
        <w:rPr>
          <w:sz w:val="8"/>
        </w:rPr>
      </w:pPr>
      <w:bookmarkStart w:id="0" w:name="_GoBack"/>
      <w:bookmarkEnd w:id="0"/>
      <w:r>
        <w:rPr>
          <w:noProof/>
          <w:sz w:val="8"/>
          <w:lang w:eastAsia="lt-LT"/>
        </w:rPr>
        <w:drawing>
          <wp:inline distT="0" distB="0" distL="0" distR="0" wp14:anchorId="4497D407" wp14:editId="4497D408">
            <wp:extent cx="1061085" cy="724535"/>
            <wp:effectExtent l="19050" t="0" r="5715" b="0"/>
            <wp:docPr id="1" name="Picture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spalv-maz2"/>
                    <pic:cNvPicPr>
                      <a:picLocks noChangeAspect="1" noChangeArrowheads="1"/>
                    </pic:cNvPicPr>
                  </pic:nvPicPr>
                  <pic:blipFill>
                    <a:blip r:embed="rId6" cstate="print"/>
                    <a:srcRect/>
                    <a:stretch>
                      <a:fillRect/>
                    </a:stretch>
                  </pic:blipFill>
                  <pic:spPr bwMode="auto">
                    <a:xfrm>
                      <a:off x="0" y="0"/>
                      <a:ext cx="1061085" cy="724535"/>
                    </a:xfrm>
                    <a:prstGeom prst="rect">
                      <a:avLst/>
                    </a:prstGeom>
                    <a:noFill/>
                    <a:ln w="9525">
                      <a:noFill/>
                      <a:miter lim="800000"/>
                      <a:headEnd/>
                      <a:tailEnd/>
                    </a:ln>
                  </pic:spPr>
                </pic:pic>
              </a:graphicData>
            </a:graphic>
          </wp:inline>
        </w:drawing>
      </w:r>
    </w:p>
    <w:p w14:paraId="4497D3EA" w14:textId="77777777" w:rsidR="00A66196" w:rsidRDefault="00A66196">
      <w:pPr>
        <w:overflowPunct w:val="0"/>
        <w:jc w:val="both"/>
        <w:textAlignment w:val="baseline"/>
        <w:rPr>
          <w:sz w:val="16"/>
          <w:szCs w:val="16"/>
        </w:rPr>
      </w:pPr>
    </w:p>
    <w:p w14:paraId="4497D3EB" w14:textId="77777777" w:rsidR="00A66196" w:rsidRDefault="001D42FE">
      <w:pPr>
        <w:overflowPunct w:val="0"/>
        <w:jc w:val="center"/>
        <w:textAlignment w:val="baseline"/>
        <w:rPr>
          <w:b/>
          <w:sz w:val="28"/>
          <w:szCs w:val="28"/>
        </w:rPr>
      </w:pPr>
      <w:r>
        <w:rPr>
          <w:b/>
          <w:sz w:val="28"/>
          <w:szCs w:val="28"/>
        </w:rPr>
        <w:t>LIETUVOS RESPUBLIKOS ŽEMĖS ŪKIO MINISTRAS</w:t>
      </w:r>
    </w:p>
    <w:p w14:paraId="4497D3EC" w14:textId="77777777" w:rsidR="00A66196" w:rsidRDefault="00A66196">
      <w:pPr>
        <w:overflowPunct w:val="0"/>
        <w:jc w:val="center"/>
        <w:textAlignment w:val="baseline"/>
        <w:rPr>
          <w:b/>
          <w:sz w:val="28"/>
          <w:szCs w:val="28"/>
        </w:rPr>
      </w:pPr>
    </w:p>
    <w:p w14:paraId="4497D3ED" w14:textId="77777777" w:rsidR="00A66196" w:rsidRDefault="001D42FE">
      <w:pPr>
        <w:overflowPunct w:val="0"/>
        <w:jc w:val="center"/>
        <w:textAlignment w:val="baseline"/>
        <w:rPr>
          <w:b/>
          <w:szCs w:val="24"/>
        </w:rPr>
      </w:pPr>
      <w:r>
        <w:rPr>
          <w:b/>
          <w:szCs w:val="24"/>
        </w:rPr>
        <w:t>ĮSAKYMAS</w:t>
      </w:r>
    </w:p>
    <w:p w14:paraId="4497D3EE" w14:textId="77777777" w:rsidR="00A66196" w:rsidRDefault="001D42FE">
      <w:pPr>
        <w:overflowPunct w:val="0"/>
        <w:jc w:val="center"/>
        <w:textAlignment w:val="baseline"/>
        <w:rPr>
          <w:b/>
          <w:bCs/>
        </w:rPr>
      </w:pPr>
      <w:r>
        <w:rPr>
          <w:b/>
          <w:bCs/>
        </w:rPr>
        <w:t>DĖL ŽEMĖS ŪKIO MINISTRO 2017 M. KOVO 10 D. ĮSAKYMO NR. 3D-164 „</w:t>
      </w:r>
      <w:r>
        <w:rPr>
          <w:b/>
          <w:bCs/>
          <w:color w:val="000000"/>
        </w:rPr>
        <w:t>DĖL LIETUVOS ŽUVININKYSTĖS SEKTORIAUS 2014–2020 METŲ VEIKSMŲ PROGRAMOS PENKTOJO SĄJUNGOS PRIORITETO „PREKYBOS IR PERDIRBIMO SKATINIMAS“ PRIEMONĖS „ŽVEJYBOS IR AKVAKULTŪROS PRODUKTŲ PERDIRBIMAS“ ĮGYVENDINIMO TAISYKLIŲ PATVIRTINIMO</w:t>
      </w:r>
      <w:r>
        <w:rPr>
          <w:b/>
          <w:bCs/>
        </w:rPr>
        <w:t>“ PAKEITIMO</w:t>
      </w:r>
    </w:p>
    <w:p w14:paraId="4497D3EF" w14:textId="77777777" w:rsidR="00A66196" w:rsidRDefault="00A66196">
      <w:pPr>
        <w:overflowPunct w:val="0"/>
        <w:jc w:val="center"/>
        <w:textAlignment w:val="baseline"/>
      </w:pPr>
    </w:p>
    <w:p w14:paraId="4497D3F0" w14:textId="2FC406C0" w:rsidR="00A66196" w:rsidRDefault="001D42FE" w:rsidP="001D42FE">
      <w:pPr>
        <w:overflowPunct w:val="0"/>
        <w:jc w:val="center"/>
        <w:textAlignment w:val="baseline"/>
      </w:pPr>
      <w:r>
        <w:t>2019 m.  spalio 30 d. Nr. 3D-600</w:t>
      </w:r>
    </w:p>
    <w:p w14:paraId="4497D3F1" w14:textId="77777777" w:rsidR="00A66196" w:rsidRDefault="001D42FE" w:rsidP="001D42FE">
      <w:pPr>
        <w:overflowPunct w:val="0"/>
        <w:jc w:val="center"/>
        <w:textAlignment w:val="baseline"/>
      </w:pPr>
      <w:r>
        <w:t>Vilnius</w:t>
      </w:r>
    </w:p>
    <w:p w14:paraId="4497D3F2" w14:textId="77777777" w:rsidR="00A66196" w:rsidRDefault="00A66196">
      <w:pPr>
        <w:overflowPunct w:val="0"/>
        <w:jc w:val="center"/>
        <w:textAlignment w:val="baseline"/>
      </w:pPr>
    </w:p>
    <w:p w14:paraId="61AB1A73" w14:textId="77777777" w:rsidR="001D42FE" w:rsidRDefault="001D42FE">
      <w:pPr>
        <w:overflowPunct w:val="0"/>
        <w:jc w:val="center"/>
        <w:textAlignment w:val="baseline"/>
      </w:pPr>
    </w:p>
    <w:p w14:paraId="4497D3F3" w14:textId="37076BC5" w:rsidR="00A66196" w:rsidRDefault="001D42FE">
      <w:pPr>
        <w:tabs>
          <w:tab w:val="left" w:pos="567"/>
          <w:tab w:val="left" w:pos="709"/>
          <w:tab w:val="left" w:pos="1560"/>
        </w:tabs>
        <w:overflowPunct w:val="0"/>
        <w:spacing w:line="360" w:lineRule="auto"/>
        <w:ind w:firstLine="691"/>
        <w:jc w:val="both"/>
        <w:textAlignment w:val="baseline"/>
      </w:pPr>
      <w:r>
        <w:rPr>
          <w:szCs w:val="24"/>
        </w:rPr>
        <w:t xml:space="preserve">P a k e i č i u  </w:t>
      </w:r>
      <w:r>
        <w:t xml:space="preserve">Lietuvos žuvininkystės sektoriaus 2014–2020 metų veiksmų programos penktojo Sąjungos prioriteto „Prekybos ir perdirbimo skatinimas“ priemonės „Žvejybos ir akvakultūros produktų perdirbimas“ įgyvendinimo taisykles, patvirtintas </w:t>
      </w:r>
      <w:r>
        <w:rPr>
          <w:szCs w:val="24"/>
        </w:rPr>
        <w:t xml:space="preserve">Lietuvos Respublikos žemės ūkio ministro 2017 m. kovo 10 d. įsakymu Nr. 3D-164 </w:t>
      </w:r>
      <w:r>
        <w:rPr>
          <w:szCs w:val="24"/>
          <w:lang w:eastAsia="lt-LT"/>
        </w:rPr>
        <w:t xml:space="preserve">„Dėl Lietuvos žuvininkystės sektoriaus 2014–2020 metų veiksmų programos penktojo Sąjungos prioriteto „Prekybos ir perdirbimo skatinimas“ priemonės „Žvejybos ir akvakultūros produktų perdirbimas“ įgyvendinimo taisyklių patvirtinimo“, ir </w:t>
      </w:r>
      <w:r>
        <w:t>36 punktą išdėstau taip:</w:t>
      </w:r>
    </w:p>
    <w:p w14:paraId="4497D3F4" w14:textId="77777777" w:rsidR="00A66196" w:rsidRDefault="001D42FE">
      <w:pPr>
        <w:tabs>
          <w:tab w:val="left" w:pos="567"/>
          <w:tab w:val="left" w:pos="709"/>
          <w:tab w:val="left" w:pos="1560"/>
        </w:tabs>
        <w:overflowPunct w:val="0"/>
        <w:spacing w:line="360" w:lineRule="auto"/>
        <w:ind w:firstLine="691"/>
        <w:jc w:val="both"/>
        <w:textAlignment w:val="baseline"/>
        <w:rPr>
          <w:szCs w:val="24"/>
          <w:lang w:eastAsia="lt-LT"/>
        </w:rPr>
      </w:pPr>
      <w:r>
        <w:rPr>
          <w:szCs w:val="24"/>
          <w:lang w:eastAsia="lt-LT"/>
        </w:rPr>
        <w:t>„36. Projektų pirmumo atrankos kriterijai:</w:t>
      </w:r>
    </w:p>
    <w:p w14:paraId="4497D3F5" w14:textId="6545B66B" w:rsidR="00A66196" w:rsidRDefault="001D42FE">
      <w:pPr>
        <w:shd w:val="clear" w:color="auto" w:fill="FFFFFF"/>
        <w:overflowPunct w:val="0"/>
        <w:spacing w:line="360" w:lineRule="auto"/>
        <w:ind w:firstLine="782"/>
        <w:jc w:val="both"/>
        <w:textAlignment w:val="baseline"/>
        <w:rPr>
          <w:color w:val="000000"/>
          <w:szCs w:val="24"/>
          <w:lang w:eastAsia="lt-LT"/>
        </w:rPr>
      </w:pPr>
      <w:r>
        <w:rPr>
          <w:color w:val="000000"/>
          <w:szCs w:val="24"/>
          <w:lang w:eastAsia="lt-LT"/>
        </w:rPr>
        <w:t>36.1. pareiškėjas yra labai maža, maža įmonė, užsiimanti arba planuojanti užsiimti žuvininkystės ir (arba) akvakultūros produktų perdirbimu, – suteikiami 5 balai;</w:t>
      </w:r>
    </w:p>
    <w:p w14:paraId="4497D3F6" w14:textId="77777777" w:rsidR="00A66196" w:rsidRDefault="001D42FE">
      <w:pPr>
        <w:overflowPunct w:val="0"/>
        <w:spacing w:line="360" w:lineRule="auto"/>
        <w:ind w:firstLine="709"/>
        <w:jc w:val="both"/>
        <w:textAlignment w:val="baseline"/>
        <w:rPr>
          <w:rFonts w:eastAsia="Calibri"/>
          <w:sz w:val="22"/>
          <w:szCs w:val="22"/>
        </w:rPr>
      </w:pPr>
      <w:r>
        <w:rPr>
          <w:color w:val="000000"/>
          <w:szCs w:val="24"/>
          <w:lang w:eastAsia="lt-LT"/>
        </w:rPr>
        <w:t xml:space="preserve">36.2. </w:t>
      </w:r>
      <w:r>
        <w:rPr>
          <w:rFonts w:eastAsia="Calibri"/>
          <w:sz w:val="22"/>
          <w:szCs w:val="22"/>
        </w:rPr>
        <w:t xml:space="preserve">pareiškėja yra akvakultūros įmonė, užregistruota ir turinti galiojantį veterinarinio patvirtinimo numerį, leidžiantį vykdyti akvakultūros veiklą, ne mažiau kaip prieš 2 metus iki paramos paraiškos pateikimo dienos, o pajamos akvakultūros produkcijos pagal paskutinius metinės finansinės atskaitomybės dokumentus sudaro ne mažiau kaip 50 proc., – suteikiama 20 balų; </w:t>
      </w:r>
    </w:p>
    <w:p w14:paraId="4497D3F7" w14:textId="32BE3B1C" w:rsidR="00A66196" w:rsidRDefault="001D42FE">
      <w:pPr>
        <w:overflowPunct w:val="0"/>
        <w:spacing w:line="360" w:lineRule="auto"/>
        <w:ind w:firstLine="709"/>
        <w:jc w:val="both"/>
        <w:textAlignment w:val="baseline"/>
        <w:rPr>
          <w:rFonts w:eastAsia="Calibri"/>
          <w:sz w:val="22"/>
          <w:szCs w:val="22"/>
        </w:rPr>
      </w:pPr>
      <w:r>
        <w:rPr>
          <w:color w:val="000000"/>
          <w:szCs w:val="24"/>
          <w:lang w:eastAsia="lt-LT"/>
        </w:rPr>
        <w:t xml:space="preserve">36.3. </w:t>
      </w:r>
      <w:r>
        <w:rPr>
          <w:rFonts w:eastAsia="Calibri"/>
          <w:sz w:val="22"/>
          <w:szCs w:val="22"/>
        </w:rPr>
        <w:t>kai prašoma paramos projektams, kuriuose investuojama į energijos iš atsinaujinančių išteklių gamybos įrenginį (-</w:t>
      </w:r>
      <w:proofErr w:type="spellStart"/>
      <w:r>
        <w:rPr>
          <w:rFonts w:eastAsia="Calibri"/>
          <w:sz w:val="22"/>
          <w:szCs w:val="22"/>
        </w:rPr>
        <w:t>ius</w:t>
      </w:r>
      <w:proofErr w:type="spellEnd"/>
      <w:r>
        <w:rPr>
          <w:rFonts w:eastAsia="Calibri"/>
          <w:sz w:val="22"/>
          <w:szCs w:val="22"/>
        </w:rPr>
        <w:t>), jei tokių investicijų dalis sudaro ne mažiau kaip 2 proc. tinkamų išlaidų vertės, – suteikiami 5 balai. Energijos iš atsinaujinančių išteklių gamybos įrenginys – kaip apibrėžta Lietuvos Respublikos atsinaujinančių išteklių energetikos įstatyme;</w:t>
      </w:r>
    </w:p>
    <w:p w14:paraId="4497D3F8" w14:textId="77777777" w:rsidR="00A66196" w:rsidRDefault="001D42FE">
      <w:pPr>
        <w:shd w:val="clear" w:color="auto" w:fill="FFFFFF"/>
        <w:overflowPunct w:val="0"/>
        <w:spacing w:line="360" w:lineRule="auto"/>
        <w:ind w:firstLine="720"/>
        <w:jc w:val="both"/>
        <w:textAlignment w:val="baseline"/>
        <w:rPr>
          <w:rFonts w:eastAsia="Calibri"/>
          <w:sz w:val="22"/>
          <w:szCs w:val="22"/>
        </w:rPr>
      </w:pPr>
      <w:r>
        <w:rPr>
          <w:szCs w:val="24"/>
          <w:lang w:eastAsia="lt-LT"/>
        </w:rPr>
        <w:t xml:space="preserve">36.4. </w:t>
      </w:r>
      <w:r>
        <w:rPr>
          <w:rFonts w:eastAsia="Calibri"/>
          <w:sz w:val="22"/>
          <w:szCs w:val="22"/>
        </w:rPr>
        <w:t xml:space="preserve">pareiškėjas perdirba ir (arba) apdoroja Lietuvoje sužvejotą arba užaugintą žuvų produkciją (perdirbamos žaliavos kiekis turi sudaryti ne mažiau kaip 20 proc. visos perdirbamos žaliavos kiekio ataskaitiniais metais) – suteikiama 10 balų. Lietuvoje sužvejota žuvų produkcija yra vidaus vandenyse arba Lietuvos Respublikos žvejybos laivais sužvejotos žuvys; </w:t>
      </w:r>
    </w:p>
    <w:p w14:paraId="4497D3F9" w14:textId="333FEAB6" w:rsidR="00A66196" w:rsidRDefault="001D42FE">
      <w:pPr>
        <w:shd w:val="clear" w:color="auto" w:fill="FFFFFF"/>
        <w:overflowPunct w:val="0"/>
        <w:spacing w:line="360" w:lineRule="auto"/>
        <w:ind w:firstLine="720"/>
        <w:jc w:val="both"/>
        <w:textAlignment w:val="baseline"/>
      </w:pPr>
      <w:r>
        <w:rPr>
          <w:szCs w:val="24"/>
        </w:rPr>
        <w:lastRenderedPageBreak/>
        <w:t xml:space="preserve">36.5. </w:t>
      </w:r>
      <w:r>
        <w:rPr>
          <w:rFonts w:eastAsia="Calibri"/>
          <w:sz w:val="22"/>
          <w:szCs w:val="22"/>
        </w:rPr>
        <w:t>investuojama į inovatyvias technologijas, kuriomis bus gaunami nauji ar patobulinti produktai, paslaugos, gamybos procesai, naujos ar patobulintos valdymo ir organizavimo sistemos, kaip numatyta Lietuvos žuvininkystės sektoriaus 2014–2020 metų veiksmų programos priemonių projektuose diegiamų inovacijų vertinimo metodikoje, patvirtintoje Lietuvos Respublikos žemės ūkio ministro 2016 m. sausio 29 d. įsakymu Nr. 3D-42 „Dėl Lietuvos žuvininkystės sektoriaus 2014–2020 metų veiksmų programos priemonių projektuose diegiamų inovacijų vertinimo metodikos patvirtinimo“, – suteikiami 5 balai;</w:t>
      </w:r>
    </w:p>
    <w:p w14:paraId="4497D3FA" w14:textId="361C155F" w:rsidR="00A66196" w:rsidRDefault="001D42FE">
      <w:pPr>
        <w:shd w:val="clear" w:color="auto" w:fill="FFFFFF"/>
        <w:overflowPunct w:val="0"/>
        <w:spacing w:line="360" w:lineRule="auto"/>
        <w:ind w:firstLine="720"/>
        <w:jc w:val="both"/>
        <w:textAlignment w:val="baseline"/>
        <w:rPr>
          <w:rFonts w:eastAsia="Calibri"/>
          <w:sz w:val="22"/>
          <w:szCs w:val="22"/>
        </w:rPr>
      </w:pPr>
      <w:r>
        <w:rPr>
          <w:color w:val="000000"/>
          <w:szCs w:val="24"/>
          <w:lang w:eastAsia="lt-LT"/>
        </w:rPr>
        <w:t xml:space="preserve">36.6. </w:t>
      </w:r>
      <w:r>
        <w:rPr>
          <w:rFonts w:eastAsia="Calibri"/>
          <w:sz w:val="22"/>
          <w:szCs w:val="22"/>
        </w:rPr>
        <w:t xml:space="preserve">įgyvendinus projektą, sukurtas ir kontrolės laikotarpiu išlaikytas darbo vietų skaičius, išreikštas visos darbo dienos ekvivalentu (pirmaisiais metais po projekto įgyvendinimo pabaigos metų ir kiekvienais kontrolės laikotarpio metais esantis vidutinis sąlyginis darbuotojų skaičius lyginamas su ataskaitiniais metais buvusiu vidutiniu sąlyginiu darbuotojų skaičiumi), – suteikiama po 5 balus už kiekvieną naujai sukurtą darbo vietą (ne daugiau kaip 20 balų. </w:t>
      </w:r>
    </w:p>
    <w:p w14:paraId="4497D3FB" w14:textId="7493CDA9" w:rsidR="00A66196" w:rsidRDefault="001D42FE">
      <w:pPr>
        <w:shd w:val="clear" w:color="auto" w:fill="FFFFFF"/>
        <w:overflowPunct w:val="0"/>
        <w:spacing w:line="360" w:lineRule="auto"/>
        <w:ind w:firstLine="720"/>
        <w:jc w:val="both"/>
        <w:textAlignment w:val="baseline"/>
        <w:rPr>
          <w:rFonts w:eastAsia="Calibri"/>
          <w:sz w:val="22"/>
          <w:szCs w:val="22"/>
        </w:rPr>
      </w:pPr>
      <w:r>
        <w:rPr>
          <w:rFonts w:eastAsia="Calibri"/>
          <w:sz w:val="22"/>
          <w:szCs w:val="22"/>
        </w:rPr>
        <w:t>Balai pagal šį kriterijų suteikiami tik už visiškai naujai sukurtas darbo vietas, t. y. vidutinis sąlyginis darbuotojų skaičius neapvalinamas;</w:t>
      </w:r>
    </w:p>
    <w:p w14:paraId="4497D3FC" w14:textId="77777777" w:rsidR="00A66196" w:rsidRDefault="001D42FE">
      <w:pPr>
        <w:shd w:val="clear" w:color="auto" w:fill="FFFFFF"/>
        <w:overflowPunct w:val="0"/>
        <w:spacing w:line="360" w:lineRule="auto"/>
        <w:ind w:firstLine="720"/>
        <w:jc w:val="both"/>
        <w:textAlignment w:val="baseline"/>
        <w:rPr>
          <w:rFonts w:eastAsia="Calibri"/>
          <w:sz w:val="22"/>
          <w:szCs w:val="22"/>
        </w:rPr>
      </w:pPr>
      <w:r>
        <w:rPr>
          <w:color w:val="000000"/>
          <w:szCs w:val="24"/>
          <w:lang w:eastAsia="lt-LT"/>
        </w:rPr>
        <w:t xml:space="preserve">36.7. </w:t>
      </w:r>
      <w:r>
        <w:rPr>
          <w:rFonts w:eastAsia="Calibri"/>
          <w:sz w:val="22"/>
          <w:szCs w:val="22"/>
        </w:rPr>
        <w:t>pareiškėjas prašo mažesnio paramos intensyvumo nuo projekto tinkamų finansuoti išlaidų, nei nustatytas galimas didžiausias paramos intensyvumas, – suteikiama  po 1 balą už kiekvieną paramos intensyvumo susimažinimo procentinį punktą, bet ne daugiau kaip 10 balų (ne daugiau kaip už 10 procentinių punktų);</w:t>
      </w:r>
    </w:p>
    <w:p w14:paraId="4497D3FD" w14:textId="77777777" w:rsidR="00A66196" w:rsidRDefault="001D42FE">
      <w:pPr>
        <w:overflowPunct w:val="0"/>
        <w:spacing w:line="360" w:lineRule="auto"/>
        <w:ind w:firstLine="709"/>
        <w:jc w:val="both"/>
        <w:textAlignment w:val="baseline"/>
        <w:rPr>
          <w:rFonts w:eastAsia="Calibri"/>
          <w:sz w:val="22"/>
          <w:szCs w:val="22"/>
        </w:rPr>
      </w:pPr>
      <w:r>
        <w:rPr>
          <w:color w:val="000000"/>
          <w:szCs w:val="24"/>
          <w:lang w:eastAsia="lt-LT"/>
        </w:rPr>
        <w:t>36</w:t>
      </w:r>
      <w:r>
        <w:rPr>
          <w:color w:val="000000"/>
          <w:szCs w:val="24"/>
          <w:lang w:eastAsia="ru-RU"/>
        </w:rPr>
        <w:t xml:space="preserve">.8. </w:t>
      </w:r>
      <w:r>
        <w:rPr>
          <w:rFonts w:eastAsia="Calibri"/>
          <w:sz w:val="22"/>
          <w:szCs w:val="22"/>
        </w:rPr>
        <w:t>pareiškėjas nėra gavęs paramos žvejybos ir (arba) akvakultūros produktų perdirbimui pagal Lietuvos žuvininkystės sektoriaus 2007–2013 m. veiksmų programos priemonę „Žuvininkystės ir akvakultūros produktų perdirbimas ir rinkodara“ ir Lietuvos žuvininkystės sektoriaus 2014–2020 m. veiksmų programos priemonę „Žvejybos ir akvakultūros produktų perdirbimas“ – suteikiama 10 balų;</w:t>
      </w:r>
    </w:p>
    <w:p w14:paraId="4497D3FE" w14:textId="77777777" w:rsidR="00A66196" w:rsidRDefault="001D42FE">
      <w:pPr>
        <w:shd w:val="clear" w:color="auto" w:fill="FFFFFF"/>
        <w:overflowPunct w:val="0"/>
        <w:spacing w:line="360" w:lineRule="auto"/>
        <w:ind w:firstLine="720"/>
        <w:jc w:val="both"/>
        <w:textAlignment w:val="baseline"/>
        <w:rPr>
          <w:color w:val="000000"/>
          <w:szCs w:val="24"/>
          <w:lang w:eastAsia="ru-RU"/>
        </w:rPr>
      </w:pPr>
      <w:r>
        <w:rPr>
          <w:color w:val="000000"/>
          <w:szCs w:val="24"/>
          <w:lang w:eastAsia="lt-LT"/>
        </w:rPr>
        <w:t>36</w:t>
      </w:r>
      <w:r>
        <w:rPr>
          <w:color w:val="000000"/>
          <w:szCs w:val="24"/>
          <w:lang w:eastAsia="ru-RU"/>
        </w:rPr>
        <w:t>.9. įmonės grynasis pelningumas yra:</w:t>
      </w:r>
    </w:p>
    <w:p w14:paraId="4497D3FF" w14:textId="77777777" w:rsidR="00A66196" w:rsidRDefault="001D42FE">
      <w:pPr>
        <w:overflowPunct w:val="0"/>
        <w:spacing w:line="360" w:lineRule="auto"/>
        <w:ind w:firstLine="709"/>
        <w:jc w:val="both"/>
        <w:textAlignment w:val="baseline"/>
        <w:rPr>
          <w:rFonts w:eastAsia="Calibri"/>
          <w:sz w:val="22"/>
          <w:szCs w:val="22"/>
        </w:rPr>
      </w:pPr>
      <w:r>
        <w:rPr>
          <w:color w:val="000000"/>
          <w:szCs w:val="24"/>
          <w:lang w:eastAsia="lt-LT"/>
        </w:rPr>
        <w:t>36</w:t>
      </w:r>
      <w:r>
        <w:rPr>
          <w:color w:val="000000"/>
          <w:szCs w:val="24"/>
          <w:lang w:eastAsia="ru-RU"/>
        </w:rPr>
        <w:t>.9.1.</w:t>
      </w:r>
      <w:r>
        <w:rPr>
          <w:rFonts w:eastAsia="Calibri"/>
          <w:sz w:val="22"/>
          <w:szCs w:val="22"/>
        </w:rPr>
        <w:t xml:space="preserve"> nuo 2,5 iki 4 proc. (imtinai) visą projekto kontrolės laikotarpį – suteikiami 5 balai;</w:t>
      </w:r>
    </w:p>
    <w:p w14:paraId="4497D400" w14:textId="77777777" w:rsidR="00A66196" w:rsidRDefault="001D42FE">
      <w:pPr>
        <w:shd w:val="clear" w:color="auto" w:fill="FFFFFF"/>
        <w:overflowPunct w:val="0"/>
        <w:spacing w:line="360" w:lineRule="auto"/>
        <w:ind w:firstLine="720"/>
        <w:jc w:val="both"/>
        <w:textAlignment w:val="baseline"/>
        <w:rPr>
          <w:rFonts w:eastAsia="Calibri"/>
          <w:sz w:val="22"/>
          <w:szCs w:val="22"/>
        </w:rPr>
      </w:pPr>
      <w:r>
        <w:rPr>
          <w:color w:val="000000"/>
          <w:szCs w:val="24"/>
          <w:lang w:eastAsia="lt-LT"/>
        </w:rPr>
        <w:t>36</w:t>
      </w:r>
      <w:r>
        <w:rPr>
          <w:color w:val="000000"/>
          <w:szCs w:val="24"/>
          <w:lang w:eastAsia="ru-RU"/>
        </w:rPr>
        <w:t xml:space="preserve">.9.2. </w:t>
      </w:r>
      <w:r>
        <w:rPr>
          <w:rFonts w:eastAsia="Calibri"/>
          <w:sz w:val="22"/>
          <w:szCs w:val="22"/>
        </w:rPr>
        <w:t xml:space="preserve">daugiau kaip 4 proc. visą projekto kontrolės laikotarpį – suteikiama 10 balų; </w:t>
      </w:r>
    </w:p>
    <w:p w14:paraId="4497D405" w14:textId="70D79546" w:rsidR="00A66196" w:rsidRDefault="001D42FE" w:rsidP="001D42FE">
      <w:pPr>
        <w:overflowPunct w:val="0"/>
        <w:spacing w:line="360" w:lineRule="auto"/>
        <w:ind w:firstLine="709"/>
        <w:jc w:val="both"/>
        <w:textAlignment w:val="baseline"/>
      </w:pPr>
      <w:r>
        <w:rPr>
          <w:color w:val="000000"/>
          <w:szCs w:val="24"/>
          <w:lang w:eastAsia="lt-LT"/>
        </w:rPr>
        <w:t>36</w:t>
      </w:r>
      <w:r>
        <w:rPr>
          <w:color w:val="000000"/>
          <w:szCs w:val="24"/>
          <w:lang w:eastAsia="ru-RU"/>
        </w:rPr>
        <w:t xml:space="preserve">.10. </w:t>
      </w:r>
      <w:r>
        <w:rPr>
          <w:rFonts w:eastAsia="Calibri"/>
          <w:sz w:val="22"/>
          <w:szCs w:val="22"/>
        </w:rPr>
        <w:t xml:space="preserve">perdirbamos žuvys, kurios negali būti skirtos žmonėms vartoti (priegauda), ir (arba) ekologiški žuvų produktai – suteikiami 5 balai. Žuvys,  kurios negali būti skirtos žmonėms vartoti (priegauda), ir (arba) ekologiški žuvų produktai turi sudaryti ne mažiau kaip 2 proc. visos įmonės perdirbtos, apdorotos žaliavos kiekio ataskaitiniais metais.“ </w:t>
      </w:r>
    </w:p>
    <w:p w14:paraId="6080C371" w14:textId="77777777" w:rsidR="001D42FE" w:rsidRDefault="001D42FE" w:rsidP="001D42FE">
      <w:pPr>
        <w:tabs>
          <w:tab w:val="left" w:pos="6946"/>
        </w:tabs>
        <w:overflowPunct w:val="0"/>
        <w:jc w:val="both"/>
        <w:textAlignment w:val="baseline"/>
      </w:pPr>
    </w:p>
    <w:p w14:paraId="351F4437" w14:textId="77777777" w:rsidR="001D42FE" w:rsidRDefault="001D42FE" w:rsidP="001D42FE">
      <w:pPr>
        <w:tabs>
          <w:tab w:val="left" w:pos="6946"/>
        </w:tabs>
        <w:overflowPunct w:val="0"/>
        <w:jc w:val="both"/>
        <w:textAlignment w:val="baseline"/>
      </w:pPr>
    </w:p>
    <w:p w14:paraId="0B88B1D3" w14:textId="77777777" w:rsidR="001D42FE" w:rsidRDefault="001D42FE" w:rsidP="001D42FE">
      <w:pPr>
        <w:tabs>
          <w:tab w:val="left" w:pos="6946"/>
        </w:tabs>
        <w:overflowPunct w:val="0"/>
        <w:jc w:val="both"/>
        <w:textAlignment w:val="baseline"/>
      </w:pPr>
    </w:p>
    <w:p w14:paraId="4497D406" w14:textId="46D6AFB3" w:rsidR="00A66196" w:rsidRDefault="001D42FE" w:rsidP="001D42FE">
      <w:pPr>
        <w:tabs>
          <w:tab w:val="left" w:pos="6946"/>
        </w:tabs>
        <w:overflowPunct w:val="0"/>
        <w:spacing w:line="360" w:lineRule="auto"/>
        <w:jc w:val="both"/>
        <w:textAlignment w:val="baseline"/>
      </w:pPr>
      <w:r>
        <w:t xml:space="preserve">Žemės ūkio ministras     </w:t>
      </w:r>
      <w:r>
        <w:tab/>
      </w:r>
      <w:r>
        <w:tab/>
        <w:t xml:space="preserve">   Andrius Palionis</w:t>
      </w:r>
    </w:p>
    <w:sectPr w:rsidR="00A66196" w:rsidSect="001D42FE">
      <w:headerReference w:type="even" r:id="rId7"/>
      <w:headerReference w:type="default" r:id="rId8"/>
      <w:footerReference w:type="even" r:id="rId9"/>
      <w:footerReference w:type="default" r:id="rId10"/>
      <w:headerReference w:type="first" r:id="rId11"/>
      <w:footerReference w:type="first" r:id="rId12"/>
      <w:pgSz w:w="11907" w:h="16840"/>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9AE5D" w14:textId="77777777" w:rsidR="001D6BDA" w:rsidRDefault="001D6BDA">
      <w:pPr>
        <w:overflowPunct w:val="0"/>
        <w:jc w:val="both"/>
        <w:textAlignment w:val="baseline"/>
        <w:rPr>
          <w:lang w:val="en-GB"/>
        </w:rPr>
      </w:pPr>
      <w:r>
        <w:rPr>
          <w:lang w:val="en-GB"/>
        </w:rPr>
        <w:separator/>
      </w:r>
    </w:p>
  </w:endnote>
  <w:endnote w:type="continuationSeparator" w:id="0">
    <w:p w14:paraId="7D25C5D0" w14:textId="77777777" w:rsidR="001D6BDA" w:rsidRDefault="001D6BDA">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D40F" w14:textId="77777777" w:rsidR="00A66196" w:rsidRDefault="00A6619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D410" w14:textId="77777777" w:rsidR="00A66196" w:rsidRDefault="00A6619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D412" w14:textId="77777777" w:rsidR="00A66196" w:rsidRDefault="00A66196">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DA525" w14:textId="77777777" w:rsidR="001D6BDA" w:rsidRDefault="001D6BDA">
      <w:pPr>
        <w:overflowPunct w:val="0"/>
        <w:jc w:val="both"/>
        <w:textAlignment w:val="baseline"/>
        <w:rPr>
          <w:lang w:val="en-GB"/>
        </w:rPr>
      </w:pPr>
      <w:r>
        <w:rPr>
          <w:lang w:val="en-GB"/>
        </w:rPr>
        <w:separator/>
      </w:r>
    </w:p>
  </w:footnote>
  <w:footnote w:type="continuationSeparator" w:id="0">
    <w:p w14:paraId="331C5A76" w14:textId="77777777" w:rsidR="001D6BDA" w:rsidRDefault="001D6BDA">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D40D" w14:textId="77777777" w:rsidR="00A66196" w:rsidRDefault="00A6619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745345"/>
      <w:docPartObj>
        <w:docPartGallery w:val="Page Numbers (Top of Page)"/>
        <w:docPartUnique/>
      </w:docPartObj>
    </w:sdtPr>
    <w:sdtEndPr/>
    <w:sdtContent>
      <w:p w14:paraId="45CE9057" w14:textId="08B1055E" w:rsidR="001D42FE" w:rsidRDefault="001D42FE">
        <w:pPr>
          <w:pStyle w:val="Header"/>
          <w:jc w:val="center"/>
        </w:pPr>
        <w:r>
          <w:fldChar w:fldCharType="begin"/>
        </w:r>
        <w:r>
          <w:instrText>PAGE   \* MERGEFORMAT</w:instrText>
        </w:r>
        <w:r>
          <w:fldChar w:fldCharType="separate"/>
        </w:r>
        <w:r>
          <w:rPr>
            <w:noProof/>
          </w:rPr>
          <w:t>2</w:t>
        </w:r>
        <w:r>
          <w:fldChar w:fldCharType="end"/>
        </w:r>
      </w:p>
    </w:sdtContent>
  </w:sdt>
  <w:p w14:paraId="4497D40E" w14:textId="77777777" w:rsidR="00A66196" w:rsidRDefault="00A66196">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D411" w14:textId="77777777" w:rsidR="00A66196" w:rsidRDefault="00A66196">
    <w:pPr>
      <w:tabs>
        <w:tab w:val="center" w:pos="4153"/>
        <w:tab w:val="right" w:pos="8306"/>
      </w:tabs>
      <w:overflowPunct w:val="0"/>
      <w:jc w:val="both"/>
      <w:textAlignment w:val="baselin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1B"/>
    <w:rsid w:val="001D42FE"/>
    <w:rsid w:val="001D6BDA"/>
    <w:rsid w:val="00385A84"/>
    <w:rsid w:val="00A66196"/>
    <w:rsid w:val="00C54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7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unhideWhenUsed/>
    <w:rsid w:val="001D42FE"/>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1D42FE"/>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3070</Words>
  <Characters>1750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4811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2019-11-04T08:34:00Z</dcterms:created>
  <dcterms:modified xsi:type="dcterms:W3CDTF">2019-11-04T08:34:00Z</dcterms:modified>
</cp:coreProperties>
</file>