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670637" w:rsidRDefault="0091524D" w:rsidP="0091524D">
      <w:pPr>
        <w:spacing w:after="0" w:line="240" w:lineRule="auto"/>
        <w:jc w:val="center"/>
        <w:rPr>
          <w:rFonts w:cs="Times New Roman"/>
          <w:b/>
          <w:szCs w:val="24"/>
        </w:rPr>
      </w:pPr>
      <w:bookmarkStart w:id="0" w:name="_Hlk41652714"/>
      <w:r w:rsidRPr="00670637">
        <w:rPr>
          <w:rFonts w:cs="Times New Roman"/>
          <w:b/>
          <w:szCs w:val="24"/>
        </w:rPr>
        <w:t>ATMINTINĖ</w:t>
      </w:r>
    </w:p>
    <w:p w14:paraId="4602B162" w14:textId="77777777" w:rsidR="009A0882" w:rsidRDefault="004161A4" w:rsidP="0091524D">
      <w:pPr>
        <w:spacing w:after="0" w:line="240" w:lineRule="auto"/>
        <w:jc w:val="center"/>
        <w:rPr>
          <w:rFonts w:cs="Times New Roman"/>
          <w:b/>
          <w:caps/>
          <w:szCs w:val="24"/>
        </w:rPr>
      </w:pPr>
      <w:r w:rsidRPr="00670637">
        <w:rPr>
          <w:rFonts w:cs="Times New Roman"/>
          <w:b/>
          <w:caps/>
          <w:szCs w:val="24"/>
        </w:rPr>
        <w:t>P</w:t>
      </w:r>
      <w:r w:rsidR="0091524D" w:rsidRPr="00670637">
        <w:rPr>
          <w:rFonts w:cs="Times New Roman"/>
          <w:b/>
          <w:caps/>
          <w:szCs w:val="24"/>
        </w:rPr>
        <w:t>areiškėjams</w:t>
      </w:r>
      <w:r w:rsidRPr="00670637">
        <w:rPr>
          <w:rFonts w:cs="Times New Roman"/>
          <w:b/>
          <w:caps/>
          <w:szCs w:val="24"/>
        </w:rPr>
        <w:t>,</w:t>
      </w:r>
      <w:r w:rsidR="00042FF3" w:rsidRPr="00670637">
        <w:rPr>
          <w:rFonts w:cs="Times New Roman"/>
          <w:b/>
          <w:caps/>
          <w:szCs w:val="24"/>
        </w:rPr>
        <w:t xml:space="preserve"> </w:t>
      </w:r>
      <w:r w:rsidR="003C24AA" w:rsidRPr="00670637">
        <w:rPr>
          <w:rFonts w:cs="Times New Roman"/>
          <w:b/>
          <w:caps/>
          <w:szCs w:val="24"/>
        </w:rPr>
        <w:t>teikIANTIEMS</w:t>
      </w:r>
      <w:r w:rsidR="0091524D" w:rsidRPr="00670637">
        <w:rPr>
          <w:rFonts w:cs="Times New Roman"/>
          <w:b/>
          <w:caps/>
          <w:szCs w:val="24"/>
        </w:rPr>
        <w:t xml:space="preserve"> paraiškas </w:t>
      </w:r>
      <w:r w:rsidR="00887E6F">
        <w:rPr>
          <w:rFonts w:cs="Times New Roman"/>
          <w:b/>
          <w:caps/>
          <w:szCs w:val="24"/>
        </w:rPr>
        <w:t>nuo 2021</w:t>
      </w:r>
      <w:r w:rsidR="00135B1F" w:rsidRPr="00670637">
        <w:rPr>
          <w:rFonts w:cs="Times New Roman"/>
          <w:b/>
          <w:caps/>
          <w:szCs w:val="24"/>
        </w:rPr>
        <w:t xml:space="preserve"> m. </w:t>
      </w:r>
      <w:r w:rsidR="00887E6F">
        <w:rPr>
          <w:rFonts w:cs="Times New Roman"/>
          <w:b/>
          <w:caps/>
          <w:szCs w:val="24"/>
        </w:rPr>
        <w:t>BIRŽELIO 14 d. iki 2021</w:t>
      </w:r>
      <w:r w:rsidR="00135B1F" w:rsidRPr="00670637">
        <w:rPr>
          <w:rFonts w:cs="Times New Roman"/>
          <w:b/>
          <w:caps/>
          <w:szCs w:val="24"/>
        </w:rPr>
        <w:t xml:space="preserve"> m. </w:t>
      </w:r>
      <w:r w:rsidR="00887E6F">
        <w:rPr>
          <w:rFonts w:cs="Times New Roman"/>
          <w:b/>
          <w:caps/>
          <w:szCs w:val="24"/>
        </w:rPr>
        <w:t>RUGPJŪČIO 13</w:t>
      </w:r>
      <w:r w:rsidR="00097678" w:rsidRPr="00670637">
        <w:rPr>
          <w:rFonts w:cs="Times New Roman"/>
          <w:b/>
          <w:caps/>
          <w:szCs w:val="24"/>
        </w:rPr>
        <w:t xml:space="preserve"> d. </w:t>
      </w:r>
      <w:r w:rsidR="0091524D" w:rsidRPr="00670637">
        <w:rPr>
          <w:rFonts w:cs="Times New Roman"/>
          <w:b/>
          <w:caps/>
          <w:szCs w:val="24"/>
        </w:rPr>
        <w:t xml:space="preserve">pagal </w:t>
      </w:r>
      <w:r w:rsidR="003574F6" w:rsidRPr="00670637">
        <w:rPr>
          <w:rFonts w:cs="Times New Roman"/>
          <w:b/>
          <w:caps/>
          <w:szCs w:val="24"/>
        </w:rPr>
        <w:t xml:space="preserve">Lietuvos žuvininkystės sektoriaus 2014–2020 metų veiksmų programos </w:t>
      </w:r>
      <w:r w:rsidR="009A0882">
        <w:rPr>
          <w:rFonts w:cs="Times New Roman"/>
          <w:b/>
          <w:caps/>
          <w:szCs w:val="24"/>
        </w:rPr>
        <w:t xml:space="preserve">(toliau – veiksmų programa) </w:t>
      </w:r>
    </w:p>
    <w:p w14:paraId="7951983D" w14:textId="6B6CBFB0" w:rsidR="0091524D" w:rsidRPr="00670637" w:rsidRDefault="00AF1C91" w:rsidP="0091524D">
      <w:pPr>
        <w:spacing w:after="0" w:line="240" w:lineRule="auto"/>
        <w:jc w:val="center"/>
        <w:rPr>
          <w:rFonts w:cs="Times New Roman"/>
          <w:b/>
          <w:caps/>
          <w:color w:val="000000" w:themeColor="text1"/>
          <w:szCs w:val="24"/>
        </w:rPr>
      </w:pPr>
      <w:r w:rsidRPr="002B103E">
        <w:rPr>
          <w:b/>
          <w:bCs/>
          <w:color w:val="000000"/>
        </w:rPr>
        <w:t>PENKTOJO SĄJUNGOS PRIORITETO „PREKYBOS IR PERDIRBIMO SKATINIMAS“ PRIEMONĘ „ŽVEJYBOS IR AKVAKULTŪROS PRODUKTŲ PERDIRBIMAS“</w:t>
      </w:r>
      <w:r w:rsidR="00B11D0C" w:rsidRPr="00670637">
        <w:rPr>
          <w:rFonts w:cs="Times New Roman"/>
          <w:b/>
          <w:bCs/>
          <w:color w:val="000000"/>
          <w:szCs w:val="24"/>
        </w:rPr>
        <w:t xml:space="preserve"> </w:t>
      </w:r>
      <w:r w:rsidR="002B7F70" w:rsidRPr="00216EFE">
        <w:rPr>
          <w:b/>
          <w:bCs/>
          <w:szCs w:val="24"/>
        </w:rPr>
        <w:t>SUPAPRASTINTĄSIAS</w:t>
      </w:r>
      <w:r w:rsidR="002B7F70" w:rsidRPr="00670637">
        <w:rPr>
          <w:rFonts w:cs="Times New Roman"/>
          <w:b/>
          <w:caps/>
          <w:szCs w:val="24"/>
        </w:rPr>
        <w:t xml:space="preserve"> </w:t>
      </w:r>
      <w:r w:rsidR="003574F6" w:rsidRPr="00670637">
        <w:rPr>
          <w:rFonts w:cs="Times New Roman"/>
          <w:b/>
          <w:caps/>
          <w:szCs w:val="24"/>
        </w:rPr>
        <w:t>įgyvendinimo taisykles, patvirtintas Lietuvos Resp</w:t>
      </w:r>
      <w:r w:rsidR="002669ED" w:rsidRPr="00670637">
        <w:rPr>
          <w:rFonts w:cs="Times New Roman"/>
          <w:b/>
          <w:caps/>
          <w:szCs w:val="24"/>
        </w:rPr>
        <w:t>ublikos žemės</w:t>
      </w:r>
      <w:r w:rsidR="000C5D13" w:rsidRPr="00670637">
        <w:rPr>
          <w:rFonts w:cs="Times New Roman"/>
          <w:b/>
          <w:caps/>
          <w:szCs w:val="24"/>
        </w:rPr>
        <w:t xml:space="preserve"> ūkio ministro </w:t>
      </w:r>
      <w:r w:rsidR="002B7F70" w:rsidRPr="002B7F70">
        <w:rPr>
          <w:b/>
          <w:szCs w:val="24"/>
        </w:rPr>
        <w:t xml:space="preserve">2017 M. SPALIO 20 D. ĮSAKYMU NR. </w:t>
      </w:r>
      <w:r w:rsidR="002B7F70" w:rsidRPr="002B7F70">
        <w:rPr>
          <w:b/>
        </w:rPr>
        <w:t>3D-667</w:t>
      </w:r>
      <w:r w:rsidR="002B7F70" w:rsidRPr="00670637">
        <w:rPr>
          <w:rFonts w:cs="Times New Roman"/>
          <w:b/>
          <w:szCs w:val="24"/>
        </w:rPr>
        <w:t xml:space="preserve"> </w:t>
      </w:r>
      <w:r w:rsidR="003574F6" w:rsidRPr="00670637">
        <w:rPr>
          <w:rFonts w:cs="Times New Roman"/>
          <w:b/>
          <w:caps/>
          <w:szCs w:val="24"/>
        </w:rPr>
        <w:t>„</w:t>
      </w:r>
      <w:r w:rsidR="00B11D0C" w:rsidRPr="00670637">
        <w:rPr>
          <w:rFonts w:cs="Times New Roman"/>
          <w:b/>
          <w:bCs/>
          <w:color w:val="000000"/>
          <w:szCs w:val="24"/>
        </w:rPr>
        <w:t xml:space="preserve">DĖL LIETUVOS ŽUVININKYSTĖS SEKTORIAUS 2014–2020 METŲ VEIKSMŲ PROGRAMOS </w:t>
      </w:r>
      <w:r w:rsidRPr="002B103E">
        <w:rPr>
          <w:b/>
          <w:bCs/>
          <w:color w:val="000000"/>
        </w:rPr>
        <w:t>PENKTOJO SĄJUNGOS PRIORITETO „PREKYBOS IR PERDIRBIMO SKATINIMAS“ PRIEMON</w:t>
      </w:r>
      <w:r>
        <w:rPr>
          <w:b/>
          <w:bCs/>
          <w:color w:val="000000"/>
        </w:rPr>
        <w:t>ĖS</w:t>
      </w:r>
      <w:r w:rsidRPr="002B103E">
        <w:rPr>
          <w:b/>
          <w:bCs/>
          <w:color w:val="000000"/>
        </w:rPr>
        <w:t xml:space="preserve"> „ŽVEJYBOS IR AKVAKULTŪROS PRODUKTŲ PERDIRBIMAS“</w:t>
      </w:r>
      <w:r w:rsidR="00B11D0C" w:rsidRPr="00670637">
        <w:rPr>
          <w:rFonts w:cs="Times New Roman"/>
          <w:b/>
          <w:bCs/>
          <w:color w:val="000000"/>
          <w:szCs w:val="24"/>
        </w:rPr>
        <w:t xml:space="preserve"> ĮGYVENDINIMO </w:t>
      </w:r>
      <w:r w:rsidR="002B7F70">
        <w:rPr>
          <w:rFonts w:cs="Times New Roman"/>
          <w:b/>
          <w:bCs/>
          <w:color w:val="000000"/>
          <w:szCs w:val="24"/>
        </w:rPr>
        <w:t xml:space="preserve">SUPAPRASTINTŲJŲ </w:t>
      </w:r>
      <w:r w:rsidR="00B11D0C" w:rsidRPr="00670637">
        <w:rPr>
          <w:rFonts w:cs="Times New Roman"/>
          <w:b/>
          <w:bCs/>
          <w:color w:val="000000"/>
          <w:szCs w:val="24"/>
        </w:rPr>
        <w:t>TAISYKLIŲ PATVIRTINIMO</w:t>
      </w:r>
      <w:r w:rsidR="003574F6" w:rsidRPr="00670637">
        <w:rPr>
          <w:rFonts w:cs="Times New Roman"/>
          <w:b/>
          <w:caps/>
          <w:szCs w:val="24"/>
        </w:rPr>
        <w:t>“</w:t>
      </w:r>
      <w:r w:rsidR="007C33F8">
        <w:rPr>
          <w:rFonts w:cs="Times New Roman"/>
          <w:b/>
          <w:caps/>
          <w:szCs w:val="24"/>
        </w:rPr>
        <w:t xml:space="preserve"> (TOLIAU – TAISYKLĖS)</w:t>
      </w:r>
    </w:p>
    <w:p w14:paraId="113AF539" w14:textId="77777777" w:rsidR="006E150E" w:rsidRPr="00670637" w:rsidRDefault="006E150E"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7366"/>
        <w:gridCol w:w="3685"/>
        <w:gridCol w:w="3970"/>
      </w:tblGrid>
      <w:tr w:rsidR="0091524D" w:rsidRPr="007C33F8" w14:paraId="006A4CB0" w14:textId="77777777" w:rsidTr="00FD2E5F">
        <w:trPr>
          <w:tblHeader/>
        </w:trPr>
        <w:tc>
          <w:tcPr>
            <w:tcW w:w="7366" w:type="dxa"/>
            <w:shd w:val="clear" w:color="auto" w:fill="D9D9D9" w:themeFill="background1" w:themeFillShade="D9"/>
          </w:tcPr>
          <w:p w14:paraId="53C80330" w14:textId="7E5A5B63"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Privalu žinoti</w:t>
            </w:r>
          </w:p>
        </w:tc>
        <w:tc>
          <w:tcPr>
            <w:tcW w:w="3685" w:type="dxa"/>
            <w:shd w:val="clear" w:color="auto" w:fill="D9D9D9" w:themeFill="background1" w:themeFillShade="D9"/>
          </w:tcPr>
          <w:p w14:paraId="3B2F202E" w14:textId="77777777"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Taikoma sankcija</w:t>
            </w:r>
          </w:p>
        </w:tc>
        <w:tc>
          <w:tcPr>
            <w:tcW w:w="3970" w:type="dxa"/>
            <w:shd w:val="clear" w:color="auto" w:fill="D9D9D9" w:themeFill="background1" w:themeFillShade="D9"/>
          </w:tcPr>
          <w:p w14:paraId="19F25317" w14:textId="77777777"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Nuoroda į teisės aktą</w:t>
            </w:r>
          </w:p>
        </w:tc>
      </w:tr>
      <w:tr w:rsidR="003C418C" w:rsidRPr="007C33F8" w14:paraId="77EFFB0F" w14:textId="77777777" w:rsidTr="00FD2E5F">
        <w:tc>
          <w:tcPr>
            <w:tcW w:w="7366" w:type="dxa"/>
          </w:tcPr>
          <w:p w14:paraId="3C364524" w14:textId="040284BD" w:rsidR="003C418C" w:rsidRPr="00670637" w:rsidRDefault="003C418C" w:rsidP="003C418C">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685" w:type="dxa"/>
          </w:tcPr>
          <w:p w14:paraId="090759BD" w14:textId="6FAAE694" w:rsidR="003C418C" w:rsidRPr="00670637" w:rsidRDefault="003C418C" w:rsidP="003C418C">
            <w:pPr>
              <w:jc w:val="both"/>
              <w:rPr>
                <w:rFonts w:cs="Times New Roman"/>
                <w:color w:val="000000"/>
                <w:szCs w:val="24"/>
              </w:rPr>
            </w:pPr>
            <w:r w:rsidRPr="00670637">
              <w:t>Sankcijos dydis priklauso nuo nustatyto</w:t>
            </w:r>
            <w:r w:rsidR="00FA2E61">
              <w:t xml:space="preserve"> </w:t>
            </w:r>
            <w:r w:rsidRPr="00670637">
              <w:t>pa</w:t>
            </w:r>
            <w:r w:rsidR="006B57F9">
              <w:t xml:space="preserve">žeidimo </w:t>
            </w:r>
            <w:r w:rsidRPr="00670637">
              <w:t>reikšmingumo, masto, trukmės ir pasikartojimo.</w:t>
            </w:r>
          </w:p>
        </w:tc>
        <w:tc>
          <w:tcPr>
            <w:tcW w:w="3970" w:type="dxa"/>
          </w:tcPr>
          <w:p w14:paraId="7A0A4B19" w14:textId="32942E5E" w:rsidR="003C418C" w:rsidRPr="00670637" w:rsidRDefault="003C418C" w:rsidP="003C418C">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3C418C" w:rsidRPr="007C33F8" w14:paraId="7782B079" w14:textId="77777777" w:rsidTr="00FD2E5F">
        <w:tc>
          <w:tcPr>
            <w:tcW w:w="7366" w:type="dxa"/>
          </w:tcPr>
          <w:p w14:paraId="0CB5D667" w14:textId="0A5CA425" w:rsidR="003C418C" w:rsidRDefault="003C418C" w:rsidP="003C418C">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Nuo paramos paraiškos pateikimo dienos iki projekto kontrolės laikotarp</w:t>
            </w:r>
            <w:r>
              <w:rPr>
                <w:rFonts w:cs="Times New Roman"/>
                <w:color w:val="000000"/>
                <w:szCs w:val="24"/>
                <w:shd w:val="clear" w:color="auto" w:fill="FFFFFF"/>
              </w:rPr>
              <w:t>io pabaigos buhalterinė apskaita turi būti tvarkoma</w:t>
            </w:r>
            <w:r w:rsidRPr="00670637">
              <w:rPr>
                <w:rFonts w:cs="Times New Roman"/>
                <w:color w:val="000000"/>
                <w:szCs w:val="24"/>
                <w:shd w:val="clear" w:color="auto" w:fill="FFFFFF"/>
              </w:rPr>
              <w:t xml:space="preserve"> Taisyklių </w:t>
            </w:r>
            <w:r>
              <w:rPr>
                <w:rFonts w:cs="Times New Roman"/>
                <w:color w:val="000000"/>
                <w:szCs w:val="24"/>
                <w:shd w:val="clear" w:color="auto" w:fill="FFFFFF"/>
              </w:rPr>
              <w:t>20 punkte</w:t>
            </w:r>
            <w:r w:rsidRPr="00670637">
              <w:rPr>
                <w:rFonts w:cs="Times New Roman"/>
                <w:color w:val="000000"/>
                <w:szCs w:val="24"/>
                <w:shd w:val="clear" w:color="auto" w:fill="FFFFFF"/>
              </w:rPr>
              <w:t xml:space="preserve"> nurodyta tvarka.</w:t>
            </w:r>
          </w:p>
        </w:tc>
        <w:tc>
          <w:tcPr>
            <w:tcW w:w="3685" w:type="dxa"/>
          </w:tcPr>
          <w:p w14:paraId="667EAA0E" w14:textId="1F11D3F8" w:rsidR="003C418C" w:rsidRPr="00670637" w:rsidRDefault="003C418C" w:rsidP="003C418C">
            <w:pPr>
              <w:jc w:val="both"/>
              <w:rPr>
                <w:rFonts w:cs="Times New Roman"/>
                <w:color w:val="000000"/>
                <w:szCs w:val="24"/>
              </w:rPr>
            </w:pPr>
            <w:r w:rsidRPr="00670637">
              <w:rPr>
                <w:rFonts w:cs="Times New Roman"/>
                <w:color w:val="000000"/>
                <w:szCs w:val="24"/>
              </w:rPr>
              <w:t>Paramos sumažinimas ir (arba) susigrąžinimas nuo paramos sumos.</w:t>
            </w:r>
          </w:p>
          <w:p w14:paraId="36EEEB4F" w14:textId="77777777" w:rsidR="003C418C" w:rsidRPr="00670637" w:rsidRDefault="003C418C" w:rsidP="003C418C">
            <w:pPr>
              <w:jc w:val="both"/>
              <w:rPr>
                <w:rFonts w:cs="Times New Roman"/>
                <w:color w:val="000000"/>
                <w:szCs w:val="24"/>
              </w:rPr>
            </w:pPr>
          </w:p>
        </w:tc>
        <w:tc>
          <w:tcPr>
            <w:tcW w:w="3970" w:type="dxa"/>
          </w:tcPr>
          <w:p w14:paraId="06C610E4" w14:textId="244ECC9B" w:rsidR="003C418C" w:rsidRPr="00670637" w:rsidRDefault="003C418C" w:rsidP="003C418C">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1633C1" w:rsidRPr="007C33F8" w14:paraId="60DD9515" w14:textId="77777777" w:rsidTr="00FD2E5F">
        <w:tc>
          <w:tcPr>
            <w:tcW w:w="7366" w:type="dxa"/>
          </w:tcPr>
          <w:p w14:paraId="34E3091A" w14:textId="5D92E3C5" w:rsidR="00473E71" w:rsidRPr="00CC016D" w:rsidRDefault="009A0882" w:rsidP="00656083">
            <w:pPr>
              <w:tabs>
                <w:tab w:val="left" w:pos="601"/>
              </w:tabs>
              <w:ind w:right="-57"/>
              <w:jc w:val="both"/>
              <w:rPr>
                <w:rFonts w:cs="Times New Roman"/>
                <w:strike/>
                <w:color w:val="000000"/>
                <w:szCs w:val="24"/>
                <w:shd w:val="clear" w:color="auto" w:fill="FFFFFF"/>
              </w:rPr>
            </w:pPr>
            <w:r w:rsidRPr="00D10E88">
              <w:rPr>
                <w:rFonts w:eastAsia="Times New Roman" w:cs="Times New Roman"/>
                <w:szCs w:val="24"/>
                <w:lang w:eastAsia="lt-LT"/>
              </w:rPr>
              <w:t>T</w:t>
            </w:r>
            <w:r w:rsidR="000060DF" w:rsidRPr="00D10E88">
              <w:rPr>
                <w:rFonts w:eastAsia="Times New Roman" w:cs="Times New Roman"/>
                <w:szCs w:val="24"/>
                <w:lang w:eastAsia="lt-LT"/>
              </w:rPr>
              <w:t>uri būti apdraustas</w:t>
            </w:r>
            <w:r w:rsidR="003E6A82" w:rsidRPr="00D10E88">
              <w:rPr>
                <w:rFonts w:eastAsia="Times New Roman" w:cs="Times New Roman"/>
                <w:szCs w:val="24"/>
                <w:lang w:eastAsia="lt-LT"/>
              </w:rPr>
              <w:t xml:space="preserve"> turt</w:t>
            </w:r>
            <w:r w:rsidR="000060DF" w:rsidRPr="00D10E88">
              <w:rPr>
                <w:rFonts w:eastAsia="Times New Roman" w:cs="Times New Roman"/>
                <w:szCs w:val="24"/>
                <w:lang w:eastAsia="lt-LT"/>
              </w:rPr>
              <w:t>as</w:t>
            </w:r>
            <w:r w:rsidR="003E6A82" w:rsidRPr="00D10E88">
              <w:rPr>
                <w:rFonts w:eastAsia="Times New Roman" w:cs="Times New Roman"/>
                <w:szCs w:val="24"/>
                <w:lang w:eastAsia="lt-LT"/>
              </w:rPr>
              <w:t xml:space="preserve">, </w:t>
            </w:r>
            <w:bookmarkStart w:id="1" w:name="_GoBack"/>
            <w:bookmarkEnd w:id="1"/>
            <w:r w:rsidR="003301DA">
              <w:rPr>
                <w:color w:val="000000"/>
              </w:rPr>
              <w:t xml:space="preserve">kuriam įsigyti ar sukurti bus panaudota parama, kurio pirkimo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w:t>
            </w:r>
            <w:r w:rsidR="003301DA">
              <w:rPr>
                <w:color w:val="000000"/>
              </w:rPr>
              <w:lastRenderedPageBreak/>
              <w:t>su mokėjimo prašymu pateikia bent tris šio fakto patvirtinimo oficialius skirtingų draudimo įmonių atsisakymo suteikti draudimo paslaugas raštus. Įvykus įvykiui, kurio metu buvo sugadintas ar sunaikintas paramos lėšomis įsigytas ar sukurtas turtas, paramos gavėjas įsipareigoja atkurti </w:t>
            </w:r>
            <w:r w:rsidR="003301DA">
              <w:rPr>
                <w:color w:val="000000"/>
                <w:spacing w:val="4"/>
              </w:rPr>
              <w:t>apdraustą ir neapdraustą </w:t>
            </w:r>
            <w:r w:rsidR="003301DA">
              <w:rPr>
                <w:color w:val="000000"/>
              </w:rPr>
              <w:t>turtą ne mažesne negu atkuriamąja turto verte ir neblogesnių techninių parametrų</w:t>
            </w:r>
            <w:r w:rsidR="003301DA">
              <w:rPr>
                <w:color w:val="000000"/>
              </w:rPr>
              <w:t>.</w:t>
            </w:r>
          </w:p>
        </w:tc>
        <w:tc>
          <w:tcPr>
            <w:tcW w:w="3685" w:type="dxa"/>
          </w:tcPr>
          <w:p w14:paraId="04E0ED0F" w14:textId="5FB970DA" w:rsidR="001633C1" w:rsidRPr="00670637" w:rsidRDefault="00D31779" w:rsidP="00FA2E61">
            <w:pPr>
              <w:jc w:val="both"/>
              <w:rPr>
                <w:rFonts w:cs="Times New Roman"/>
                <w:color w:val="000000"/>
                <w:szCs w:val="24"/>
              </w:rPr>
            </w:pPr>
            <w:r w:rsidRPr="00670637">
              <w:rPr>
                <w:rFonts w:cs="Times New Roman"/>
                <w:color w:val="000000"/>
                <w:szCs w:val="24"/>
              </w:rPr>
              <w:lastRenderedPageBreak/>
              <w:t>Paramos sumažinimas ir (arba) paramos susigrąžinimas nuo pradinės pripažinto tinkamu finansuoti kiekvieno atskirai neapdrausto turto vertės</w:t>
            </w:r>
            <w:r w:rsidR="005E4014" w:rsidRPr="00670637">
              <w:rPr>
                <w:rFonts w:cs="Times New Roman"/>
                <w:color w:val="000000"/>
                <w:szCs w:val="24"/>
              </w:rPr>
              <w:t>.</w:t>
            </w:r>
            <w:r w:rsidRPr="00670637">
              <w:rPr>
                <w:rFonts w:cs="Times New Roman"/>
                <w:color w:val="000000"/>
                <w:szCs w:val="24"/>
              </w:rPr>
              <w:t xml:space="preserve"> </w:t>
            </w:r>
          </w:p>
        </w:tc>
        <w:tc>
          <w:tcPr>
            <w:tcW w:w="3970" w:type="dxa"/>
          </w:tcPr>
          <w:p w14:paraId="43F31E48" w14:textId="1C19CD71" w:rsidR="001633C1" w:rsidRPr="00670637" w:rsidRDefault="00570DBD"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AE7AB6" w:rsidRPr="00670637">
              <w:rPr>
                <w:rFonts w:cs="Times New Roman"/>
                <w:color w:val="000000" w:themeColor="text1"/>
                <w:szCs w:val="24"/>
              </w:rPr>
              <w:t> </w:t>
            </w:r>
            <w:r w:rsidR="00010FF3" w:rsidRPr="00670637">
              <w:rPr>
                <w:rFonts w:cs="Times New Roman"/>
                <w:color w:val="000000" w:themeColor="text1"/>
                <w:szCs w:val="24"/>
              </w:rPr>
              <w:t>3D-639)</w:t>
            </w:r>
          </w:p>
        </w:tc>
      </w:tr>
      <w:tr w:rsidR="00EF412A" w:rsidRPr="007C33F8" w14:paraId="02DF4EBD" w14:textId="77777777" w:rsidTr="00FD2E5F">
        <w:tc>
          <w:tcPr>
            <w:tcW w:w="7366" w:type="dxa"/>
          </w:tcPr>
          <w:p w14:paraId="7C168ADA" w14:textId="4329135B" w:rsidR="003E6A82" w:rsidRDefault="003E6A82">
            <w:pPr>
              <w:tabs>
                <w:tab w:val="left" w:pos="601"/>
              </w:tabs>
              <w:ind w:right="-57"/>
              <w:jc w:val="both"/>
              <w:rPr>
                <w:rFonts w:eastAsia="Times New Roman" w:cs="Times New Roman"/>
                <w:szCs w:val="24"/>
                <w:lang w:eastAsia="lt-LT"/>
              </w:rPr>
            </w:pPr>
            <w:r>
              <w:rPr>
                <w:color w:val="000000"/>
                <w:shd w:val="clear" w:color="auto" w:fill="FFFFFF"/>
              </w:rPr>
              <w:t xml:space="preserve">Nekeisti remiamos veiklos pobūdžio, numatytų investicijų, projekto įgyvendinimo sąlygų ir nuosavybės formos, be rašytinio </w:t>
            </w:r>
            <w:r w:rsidR="0009304F" w:rsidRPr="0009304F">
              <w:rPr>
                <w:color w:val="000000"/>
                <w:shd w:val="clear" w:color="auto" w:fill="FFFFFF"/>
              </w:rPr>
              <w:t>Nacionalin</w:t>
            </w:r>
            <w:r w:rsidR="0009304F">
              <w:rPr>
                <w:color w:val="000000"/>
                <w:shd w:val="clear" w:color="auto" w:fill="FFFFFF"/>
              </w:rPr>
              <w:t>ės</w:t>
            </w:r>
            <w:r w:rsidR="0009304F" w:rsidRPr="0009304F">
              <w:rPr>
                <w:color w:val="000000"/>
                <w:shd w:val="clear" w:color="auto" w:fill="FFFFFF"/>
              </w:rPr>
              <w:t xml:space="preserve"> mokėjim</w:t>
            </w:r>
            <w:r w:rsidR="0009304F">
              <w:rPr>
                <w:color w:val="000000"/>
                <w:shd w:val="clear" w:color="auto" w:fill="FFFFFF"/>
              </w:rPr>
              <w:t>o agentūros</w:t>
            </w:r>
            <w:r w:rsidR="0009304F" w:rsidRPr="0009304F">
              <w:rPr>
                <w:color w:val="000000"/>
                <w:shd w:val="clear" w:color="auto" w:fill="FFFFFF"/>
              </w:rPr>
              <w:t xml:space="preserve"> prie Žemės ūkio ministerijos (toliau – </w:t>
            </w:r>
            <w:r w:rsidR="0009304F">
              <w:rPr>
                <w:color w:val="000000"/>
                <w:shd w:val="clear" w:color="auto" w:fill="FFFFFF"/>
              </w:rPr>
              <w:t>NMA)</w:t>
            </w:r>
            <w:r>
              <w:rPr>
                <w:color w:val="000000"/>
                <w:shd w:val="clear" w:color="auto" w:fill="FFFFFF"/>
              </w:rPr>
              <w:t xml:space="preserve"> sutikimo neįkeisti, neparduoti ir kitaip neperduoti kitam asmeniui už paramos lėšas įgytos nuosavybės, nenutraukti projekto veiklos, nekeisti projekto įgyvendinimo vietos nuo paramos paraiškos pateikimo dienos iki projekto kontrolės laikotarpio pabaigos (leidimą įkeisti turtą </w:t>
            </w:r>
            <w:r w:rsidR="0009304F">
              <w:rPr>
                <w:color w:val="000000"/>
                <w:shd w:val="clear" w:color="auto" w:fill="FFFFFF"/>
              </w:rPr>
              <w:t>NMA</w:t>
            </w:r>
            <w:r>
              <w:rPr>
                <w:color w:val="000000"/>
                <w:shd w:val="clear" w:color="auto" w:fill="FFFFFF"/>
              </w:rPr>
              <w:t xml:space="preserve"> gali suteikti tik tiems paramos gavėjams, kurie paramos paraiškoje paskolą įvardijo kaip vieną iš projekto finansavimo šaltinių)</w:t>
            </w:r>
            <w:r w:rsidR="0009304F">
              <w:rPr>
                <w:color w:val="000000"/>
                <w:shd w:val="clear" w:color="auto" w:fill="FFFFFF"/>
              </w:rPr>
              <w:t>.</w:t>
            </w:r>
          </w:p>
          <w:p w14:paraId="37BA2A70" w14:textId="3899BE91" w:rsidR="00473E71" w:rsidRPr="00CC016D" w:rsidRDefault="00473E71">
            <w:pPr>
              <w:tabs>
                <w:tab w:val="left" w:pos="601"/>
              </w:tabs>
              <w:ind w:right="-57"/>
              <w:jc w:val="both"/>
              <w:rPr>
                <w:rFonts w:cs="Times New Roman"/>
                <w:strike/>
                <w:color w:val="000000"/>
                <w:szCs w:val="24"/>
                <w:shd w:val="clear" w:color="auto" w:fill="FFFFFF"/>
              </w:rPr>
            </w:pPr>
          </w:p>
        </w:tc>
        <w:tc>
          <w:tcPr>
            <w:tcW w:w="3685" w:type="dxa"/>
          </w:tcPr>
          <w:p w14:paraId="7BFAD22A" w14:textId="3A570CFB" w:rsidR="00EF412A" w:rsidRPr="00670637" w:rsidRDefault="005E4014" w:rsidP="0013058E">
            <w:pPr>
              <w:pStyle w:val="Default"/>
              <w:jc w:val="both"/>
            </w:pPr>
            <w:r w:rsidRPr="00670637">
              <w:t>Paramos sumažinimas ir (arba) paramos susigrąžinimas 100 proc. nuo paramos sumos</w:t>
            </w:r>
            <w:r w:rsidR="00FA2E61">
              <w:t xml:space="preserve"> </w:t>
            </w:r>
            <w:r w:rsidRPr="00670637">
              <w:t>/ proporcingai laikotarpiui, kuriuo reikalavimai nebuvo įvykdyti, skirtos paramos už parduotą ar kitaip perleistą paramos lėšomis įsigyt</w:t>
            </w:r>
            <w:r w:rsidR="00FA2E61">
              <w:t xml:space="preserve">ą turtą dalies susigrąžinimas / </w:t>
            </w:r>
            <w:r w:rsidRPr="00670637">
              <w:t>proporcingai laikotarpiui, kuriuo reikalavimai nebuvo įvykdyti, išmokėtos paramos sumos susigrąžinimas.</w:t>
            </w:r>
          </w:p>
        </w:tc>
        <w:tc>
          <w:tcPr>
            <w:tcW w:w="3970" w:type="dxa"/>
          </w:tcPr>
          <w:p w14:paraId="605DA066" w14:textId="24EB1935" w:rsidR="00EF412A" w:rsidRPr="00670637" w:rsidRDefault="00CD4097"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F21113" w:rsidRPr="00670637">
              <w:rPr>
                <w:rFonts w:cs="Times New Roman"/>
                <w:color w:val="000000" w:themeColor="text1"/>
                <w:szCs w:val="24"/>
              </w:rPr>
              <w:t> </w:t>
            </w:r>
            <w:r w:rsidR="00010FF3" w:rsidRPr="00670637">
              <w:rPr>
                <w:rFonts w:cs="Times New Roman"/>
                <w:color w:val="000000" w:themeColor="text1"/>
                <w:szCs w:val="24"/>
              </w:rPr>
              <w:t>3D-639)</w:t>
            </w:r>
          </w:p>
        </w:tc>
      </w:tr>
      <w:tr w:rsidR="003B2A32" w:rsidRPr="007C33F8" w14:paraId="6B346FE5" w14:textId="77777777" w:rsidTr="00FD2E5F">
        <w:tc>
          <w:tcPr>
            <w:tcW w:w="7366" w:type="dxa"/>
          </w:tcPr>
          <w:p w14:paraId="44513A4D" w14:textId="1C0B54DD" w:rsidR="0009304F" w:rsidRDefault="000060DF">
            <w:pPr>
              <w:tabs>
                <w:tab w:val="left" w:pos="601"/>
              </w:tabs>
              <w:ind w:right="-57"/>
              <w:jc w:val="both"/>
              <w:rPr>
                <w:rFonts w:eastAsia="Times New Roman" w:cs="Times New Roman"/>
                <w:szCs w:val="24"/>
                <w:lang w:eastAsia="lt-LT"/>
              </w:rPr>
            </w:pPr>
            <w:r>
              <w:rPr>
                <w:rFonts w:eastAsia="Times New Roman" w:cs="Times New Roman"/>
                <w:szCs w:val="24"/>
                <w:lang w:eastAsia="lt-LT"/>
              </w:rPr>
              <w:t>Privalu p</w:t>
            </w:r>
            <w:r w:rsidR="0009304F">
              <w:rPr>
                <w:color w:val="000000"/>
                <w:shd w:val="clear" w:color="auto" w:fill="FFFFFF"/>
              </w:rPr>
              <w:t>ateikti detalų atliktų darbų aprašą ir apimtis (su kiekvienu mokėjimo prašymu, kuriame deklaruojamos statybos išlaidos). </w:t>
            </w:r>
            <w:r w:rsidR="0009304F">
              <w:rPr>
                <w:color w:val="000000"/>
              </w:rPr>
              <w:t xml:space="preserve">Baigus numatytus statybos (naujo statinio statybą, statinio rekonstravimą, kapitalinį remontą) ir (arba) statinio ir technologinių inžinerinių sistemų  </w:t>
            </w:r>
            <w:r w:rsidR="0009304F" w:rsidRPr="0009304F">
              <w:rPr>
                <w:color w:val="000000"/>
              </w:rPr>
              <w:t>įrengimą</w:t>
            </w:r>
            <w:r w:rsidR="0009304F">
              <w:rPr>
                <w:color w:val="000000"/>
              </w:rPr>
              <w:t xml:space="preserve"> </w:t>
            </w:r>
            <w:r w:rsidR="0009304F" w:rsidRPr="0009304F">
              <w:rPr>
                <w:color w:val="000000"/>
              </w:rPr>
              <w:t>pateikti</w:t>
            </w:r>
            <w:r w:rsidR="0009304F">
              <w:rPr>
                <w:color w:val="000000"/>
              </w:rPr>
              <w:t xml:space="preserve"> statybos baigimo dokumentus (ne vėliau kaip kartu su paskutiniuoju mokėjimo prašymu).</w:t>
            </w:r>
          </w:p>
          <w:p w14:paraId="39907666" w14:textId="7D30A227" w:rsidR="00473E71" w:rsidRPr="00CC016D" w:rsidRDefault="00473E71">
            <w:pPr>
              <w:tabs>
                <w:tab w:val="left" w:pos="601"/>
              </w:tabs>
              <w:ind w:right="-57"/>
              <w:jc w:val="both"/>
              <w:rPr>
                <w:rFonts w:cs="Times New Roman"/>
                <w:strike/>
                <w:color w:val="000000"/>
                <w:szCs w:val="24"/>
              </w:rPr>
            </w:pPr>
          </w:p>
        </w:tc>
        <w:tc>
          <w:tcPr>
            <w:tcW w:w="3685" w:type="dxa"/>
          </w:tcPr>
          <w:p w14:paraId="761B0A55" w14:textId="79C36019" w:rsidR="003B2A32" w:rsidRPr="00670637" w:rsidRDefault="00861530" w:rsidP="00FA2E61">
            <w:pPr>
              <w:jc w:val="both"/>
              <w:rPr>
                <w:rFonts w:cs="Times New Roman"/>
                <w:color w:val="000000"/>
                <w:szCs w:val="24"/>
              </w:rPr>
            </w:pPr>
            <w:r w:rsidRPr="00670637">
              <w:rPr>
                <w:rFonts w:cs="Times New Roman"/>
                <w:color w:val="000000"/>
                <w:szCs w:val="24"/>
              </w:rPr>
              <w:t>Paramos sumažinimas arba susigrąžinimas nuo paramos sumos</w:t>
            </w:r>
            <w:r w:rsidR="00D1058F" w:rsidRPr="00670637">
              <w:rPr>
                <w:rFonts w:cs="Times New Roman"/>
                <w:color w:val="000000"/>
                <w:szCs w:val="24"/>
              </w:rPr>
              <w:t>.</w:t>
            </w:r>
          </w:p>
        </w:tc>
        <w:tc>
          <w:tcPr>
            <w:tcW w:w="3970" w:type="dxa"/>
          </w:tcPr>
          <w:p w14:paraId="06685292" w14:textId="6A32BFB9" w:rsidR="003B2A32" w:rsidRPr="00670637" w:rsidRDefault="00E67407"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F21113" w:rsidRPr="00670637">
              <w:rPr>
                <w:rFonts w:cs="Times New Roman"/>
                <w:color w:val="000000" w:themeColor="text1"/>
                <w:szCs w:val="24"/>
              </w:rPr>
              <w:t> </w:t>
            </w:r>
            <w:r w:rsidR="00010FF3" w:rsidRPr="00670637">
              <w:rPr>
                <w:rFonts w:cs="Times New Roman"/>
                <w:color w:val="000000" w:themeColor="text1"/>
                <w:szCs w:val="24"/>
              </w:rPr>
              <w:t>3D-639)</w:t>
            </w:r>
          </w:p>
        </w:tc>
      </w:tr>
      <w:tr w:rsidR="00C76C2B" w:rsidRPr="007C33F8" w14:paraId="25C35012" w14:textId="77777777" w:rsidTr="00FD2E5F">
        <w:tc>
          <w:tcPr>
            <w:tcW w:w="7366" w:type="dxa"/>
          </w:tcPr>
          <w:p w14:paraId="3E20D290" w14:textId="63F5EEE4" w:rsidR="0009304F" w:rsidRDefault="000143ED">
            <w:pPr>
              <w:tabs>
                <w:tab w:val="left" w:pos="601"/>
              </w:tabs>
              <w:ind w:right="-57"/>
              <w:jc w:val="both"/>
              <w:rPr>
                <w:rFonts w:cs="Times New Roman"/>
                <w:color w:val="000000"/>
                <w:szCs w:val="24"/>
              </w:rPr>
            </w:pPr>
            <w:r>
              <w:rPr>
                <w:rFonts w:cs="Times New Roman"/>
                <w:color w:val="000000"/>
                <w:szCs w:val="24"/>
              </w:rPr>
              <w:t xml:space="preserve">Turi būti </w:t>
            </w:r>
            <w:r w:rsidR="000060DF">
              <w:rPr>
                <w:rFonts w:cs="Times New Roman"/>
                <w:color w:val="000000"/>
                <w:szCs w:val="24"/>
              </w:rPr>
              <w:t xml:space="preserve"> s</w:t>
            </w:r>
            <w:r w:rsidR="000108FB">
              <w:rPr>
                <w:color w:val="000000"/>
                <w:shd w:val="clear" w:color="auto" w:fill="FFFFFF"/>
              </w:rPr>
              <w:t>udarytos sąlygo</w:t>
            </w:r>
            <w:r w:rsidR="0009304F">
              <w:rPr>
                <w:color w:val="000000"/>
                <w:shd w:val="clear" w:color="auto" w:fill="FFFFFF"/>
              </w:rPr>
              <w:t>s asmenims, įskaitant nepriklausomus ekspertus, turintiems teisę audituoti, kontroliuoti, tikrinti, kaip yra vykdoma veikla, laikomasi sąlygų, už ką buvo skirta parama, kaip yra vykdomas projektas ir veikla po paramos sutarties pasirašymo iki projekto kontrolės laikotarpio pabaigos</w:t>
            </w:r>
            <w:r w:rsidR="000060DF">
              <w:rPr>
                <w:color w:val="000000"/>
                <w:shd w:val="clear" w:color="auto" w:fill="FFFFFF"/>
              </w:rPr>
              <w:t>.</w:t>
            </w:r>
          </w:p>
          <w:p w14:paraId="254158EC" w14:textId="4F9B835D" w:rsidR="00473E71" w:rsidRPr="00D10E88" w:rsidRDefault="00473E71">
            <w:pPr>
              <w:tabs>
                <w:tab w:val="left" w:pos="601"/>
              </w:tabs>
              <w:ind w:right="-57"/>
              <w:jc w:val="both"/>
              <w:rPr>
                <w:rFonts w:cs="Times New Roman"/>
                <w:strike/>
                <w:color w:val="000000"/>
                <w:szCs w:val="24"/>
              </w:rPr>
            </w:pPr>
          </w:p>
        </w:tc>
        <w:tc>
          <w:tcPr>
            <w:tcW w:w="3685" w:type="dxa"/>
          </w:tcPr>
          <w:p w14:paraId="746B74F8" w14:textId="574A99AA" w:rsidR="00C40E44" w:rsidRPr="00670637" w:rsidRDefault="00C40E44" w:rsidP="00C40E44">
            <w:pPr>
              <w:spacing w:line="254" w:lineRule="atLeast"/>
              <w:jc w:val="both"/>
              <w:rPr>
                <w:rFonts w:eastAsia="Times New Roman" w:cs="Times New Roman"/>
                <w:color w:val="000000"/>
                <w:szCs w:val="24"/>
                <w:lang w:eastAsia="lt-LT"/>
              </w:rPr>
            </w:pPr>
            <w:r w:rsidRPr="00670637">
              <w:rPr>
                <w:rFonts w:eastAsia="Times New Roman" w:cs="Times New Roman"/>
                <w:color w:val="000000"/>
                <w:szCs w:val="24"/>
                <w:lang w:eastAsia="lt-LT"/>
              </w:rPr>
              <w:t>Paramos neskyrimas arba paramos sumažinimas ir (arba) susigrąžinimas</w:t>
            </w:r>
            <w:r w:rsidR="00675B85" w:rsidRPr="00670637">
              <w:rPr>
                <w:rFonts w:eastAsia="Times New Roman" w:cs="Times New Roman"/>
                <w:color w:val="000000"/>
                <w:szCs w:val="24"/>
                <w:lang w:eastAsia="lt-LT"/>
              </w:rPr>
              <w:t xml:space="preserve"> </w:t>
            </w:r>
            <w:r w:rsidRPr="00670637">
              <w:rPr>
                <w:rFonts w:eastAsia="Times New Roman" w:cs="Times New Roman"/>
                <w:color w:val="000000"/>
                <w:szCs w:val="24"/>
                <w:lang w:eastAsia="lt-LT"/>
              </w:rPr>
              <w:t>100 proc. nuo paramos sumos</w:t>
            </w:r>
            <w:r w:rsidR="00675B85" w:rsidRPr="00670637">
              <w:rPr>
                <w:rFonts w:eastAsia="Times New Roman" w:cs="Times New Roman"/>
                <w:color w:val="000000"/>
                <w:szCs w:val="24"/>
                <w:lang w:eastAsia="lt-LT"/>
              </w:rPr>
              <w:t>.</w:t>
            </w:r>
          </w:p>
          <w:p w14:paraId="56FD2622" w14:textId="469B7AEF" w:rsidR="00C76C2B" w:rsidRPr="00670637" w:rsidRDefault="00C76C2B" w:rsidP="005C3D9B">
            <w:pPr>
              <w:jc w:val="both"/>
              <w:rPr>
                <w:rFonts w:cs="Times New Roman"/>
                <w:color w:val="000000"/>
                <w:szCs w:val="24"/>
              </w:rPr>
            </w:pPr>
          </w:p>
        </w:tc>
        <w:tc>
          <w:tcPr>
            <w:tcW w:w="3970" w:type="dxa"/>
          </w:tcPr>
          <w:p w14:paraId="48ACBC5E" w14:textId="37F20243" w:rsidR="00C76C2B" w:rsidRPr="00670637" w:rsidRDefault="00C76C2B"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011D3C" w:rsidRPr="00670637">
              <w:rPr>
                <w:rFonts w:cs="Times New Roman"/>
                <w:color w:val="000000" w:themeColor="text1"/>
                <w:szCs w:val="24"/>
              </w:rPr>
              <w:t> </w:t>
            </w:r>
            <w:r w:rsidR="00010FF3" w:rsidRPr="00670637">
              <w:rPr>
                <w:rFonts w:cs="Times New Roman"/>
                <w:color w:val="000000" w:themeColor="text1"/>
                <w:szCs w:val="24"/>
              </w:rPr>
              <w:t>3D-639)</w:t>
            </w:r>
          </w:p>
        </w:tc>
      </w:tr>
      <w:tr w:rsidR="007F6604" w:rsidRPr="007C33F8" w14:paraId="7EC6FDBA" w14:textId="77777777" w:rsidTr="00FD2E5F">
        <w:tc>
          <w:tcPr>
            <w:tcW w:w="7366" w:type="dxa"/>
          </w:tcPr>
          <w:p w14:paraId="4FD5E98D" w14:textId="6CDA7C63" w:rsidR="001F3731" w:rsidRPr="00670637" w:rsidRDefault="009A0882" w:rsidP="00CD4097">
            <w:pPr>
              <w:tabs>
                <w:tab w:val="left" w:pos="601"/>
              </w:tabs>
              <w:ind w:right="-57"/>
              <w:jc w:val="both"/>
              <w:rPr>
                <w:rFonts w:cs="Times New Roman"/>
                <w:color w:val="000000"/>
                <w:szCs w:val="24"/>
                <w:shd w:val="clear" w:color="auto" w:fill="FFFFFF"/>
              </w:rPr>
            </w:pPr>
            <w:r>
              <w:rPr>
                <w:rFonts w:cs="Times New Roman"/>
                <w:color w:val="000000"/>
                <w:szCs w:val="24"/>
              </w:rPr>
              <w:lastRenderedPageBreak/>
              <w:t>Privalu</w:t>
            </w:r>
            <w:r w:rsidRPr="00670637">
              <w:rPr>
                <w:rFonts w:cs="Times New Roman"/>
                <w:color w:val="000000"/>
                <w:szCs w:val="24"/>
                <w:shd w:val="clear" w:color="auto" w:fill="FFFFFF"/>
              </w:rPr>
              <w:t xml:space="preserve"> </w:t>
            </w:r>
            <w:r>
              <w:rPr>
                <w:rFonts w:cs="Times New Roman"/>
                <w:color w:val="000000"/>
                <w:szCs w:val="24"/>
                <w:shd w:val="clear" w:color="auto" w:fill="FFFFFF"/>
              </w:rPr>
              <w:t>t</w:t>
            </w:r>
            <w:r w:rsidR="00675B85" w:rsidRPr="00670637">
              <w:rPr>
                <w:rFonts w:cs="Times New Roman"/>
                <w:color w:val="000000"/>
                <w:szCs w:val="24"/>
                <w:shd w:val="clear" w:color="auto" w:fill="FFFFFF"/>
              </w:rPr>
              <w:t>eikti informaciją ir duomenis, reikalingus Veiksmų programos įgyvendinimo stebėsenai bei reikalingiems vertinimams atlikti.</w:t>
            </w:r>
          </w:p>
        </w:tc>
        <w:tc>
          <w:tcPr>
            <w:tcW w:w="3685" w:type="dxa"/>
          </w:tcPr>
          <w:p w14:paraId="5C6DB5CA" w14:textId="1FA704AF" w:rsidR="007F6604" w:rsidRPr="00670637" w:rsidRDefault="00F058FB" w:rsidP="00C76C2B">
            <w:pPr>
              <w:jc w:val="both"/>
              <w:rPr>
                <w:rFonts w:cs="Times New Roman"/>
                <w:color w:val="000000"/>
                <w:szCs w:val="24"/>
              </w:rPr>
            </w:pPr>
            <w:r w:rsidRPr="00670637">
              <w:rPr>
                <w:rFonts w:cs="Times New Roman"/>
                <w:color w:val="000000"/>
                <w:szCs w:val="24"/>
              </w:rPr>
              <w:t>Paramos sumažinimas arba susigrąžinimas nuo paramos sumos.</w:t>
            </w:r>
          </w:p>
        </w:tc>
        <w:tc>
          <w:tcPr>
            <w:tcW w:w="3970" w:type="dxa"/>
          </w:tcPr>
          <w:p w14:paraId="77E3F1FA" w14:textId="5A4D86F3" w:rsidR="007F6604" w:rsidRPr="00670637" w:rsidRDefault="006F02C9"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011D3C" w:rsidRPr="00670637">
              <w:rPr>
                <w:rFonts w:cs="Times New Roman"/>
                <w:color w:val="000000" w:themeColor="text1"/>
                <w:szCs w:val="24"/>
              </w:rPr>
              <w:t> </w:t>
            </w:r>
            <w:r w:rsidR="00010FF3" w:rsidRPr="00670637">
              <w:rPr>
                <w:rFonts w:cs="Times New Roman"/>
                <w:color w:val="000000" w:themeColor="text1"/>
                <w:szCs w:val="24"/>
              </w:rPr>
              <w:t>3D-639)</w:t>
            </w:r>
          </w:p>
        </w:tc>
      </w:tr>
      <w:tr w:rsidR="00873CC3" w:rsidRPr="007C33F8" w14:paraId="1714F2A4" w14:textId="77777777" w:rsidTr="00FD2E5F">
        <w:tc>
          <w:tcPr>
            <w:tcW w:w="7366" w:type="dxa"/>
          </w:tcPr>
          <w:p w14:paraId="4D02A613" w14:textId="1534B0C9" w:rsidR="001F3731" w:rsidRPr="00670637" w:rsidRDefault="009A0882" w:rsidP="001F3731">
            <w:pPr>
              <w:tabs>
                <w:tab w:val="left" w:pos="601"/>
              </w:tabs>
              <w:ind w:right="-57"/>
              <w:jc w:val="both"/>
              <w:rPr>
                <w:rFonts w:cs="Times New Roman"/>
                <w:color w:val="000000"/>
                <w:szCs w:val="24"/>
              </w:rPr>
            </w:pPr>
            <w:r>
              <w:rPr>
                <w:rFonts w:eastAsia="Times New Roman" w:cs="Times New Roman"/>
                <w:szCs w:val="24"/>
                <w:lang w:eastAsia="lt-LT"/>
              </w:rPr>
              <w:t>Privaloma v</w:t>
            </w:r>
            <w:r w:rsidR="00202F55" w:rsidRPr="007C33F8">
              <w:rPr>
                <w:rFonts w:eastAsia="Times New Roman" w:cs="Times New Roman"/>
                <w:szCs w:val="24"/>
                <w:lang w:eastAsia="lt-LT"/>
              </w:rPr>
              <w:t>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685" w:type="dxa"/>
          </w:tcPr>
          <w:p w14:paraId="79A9F56D" w14:textId="06672872" w:rsidR="00873CC3" w:rsidRPr="00670637" w:rsidRDefault="00301165" w:rsidP="00873CC3">
            <w:pPr>
              <w:pStyle w:val="Default"/>
              <w:jc w:val="both"/>
            </w:pPr>
            <w:r w:rsidRPr="00670637">
              <w:t>Paramos sumažinimas (projekto įgyvendinimo laikotarpiu) 1 proc. nuo skirtos paramos sumos arba paramos susigrąžinimas (projekto kontrolės laikotarpiu) 0,5 proc. nuo išmokėtos paramos sumos.</w:t>
            </w:r>
          </w:p>
        </w:tc>
        <w:tc>
          <w:tcPr>
            <w:tcW w:w="3970" w:type="dxa"/>
          </w:tcPr>
          <w:p w14:paraId="08393E3A" w14:textId="6B3F0479"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F3C3C"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5D80407C" w14:textId="77777777" w:rsidTr="00FD2E5F">
        <w:tc>
          <w:tcPr>
            <w:tcW w:w="7366" w:type="dxa"/>
          </w:tcPr>
          <w:p w14:paraId="12F6B714" w14:textId="6720EA16" w:rsidR="001F3731" w:rsidRPr="00670637" w:rsidRDefault="009A0882" w:rsidP="00873CC3">
            <w:pPr>
              <w:tabs>
                <w:tab w:val="left" w:pos="601"/>
              </w:tabs>
              <w:ind w:right="-57"/>
              <w:jc w:val="both"/>
              <w:rPr>
                <w:rFonts w:cs="Times New Roman"/>
                <w:color w:val="000000"/>
                <w:szCs w:val="24"/>
                <w:shd w:val="clear" w:color="auto" w:fill="FFFFFF"/>
              </w:rPr>
            </w:pPr>
            <w:r>
              <w:rPr>
                <w:rFonts w:cs="Times New Roman"/>
                <w:color w:val="000000"/>
                <w:szCs w:val="24"/>
                <w:shd w:val="clear" w:color="auto" w:fill="FFFFFF"/>
              </w:rPr>
              <w:t>Privaloma u</w:t>
            </w:r>
            <w:r w:rsidR="00301165" w:rsidRPr="00670637">
              <w:rPr>
                <w:rFonts w:cs="Times New Roman"/>
                <w:color w:val="000000"/>
                <w:szCs w:val="24"/>
                <w:shd w:val="clear" w:color="auto" w:fill="FFFFFF"/>
              </w:rPr>
              <w:t xml:space="preserve">žtikrinti, kad </w:t>
            </w:r>
            <w:r w:rsidR="00622553" w:rsidRPr="00670637">
              <w:rPr>
                <w:rFonts w:eastAsia="Times New Roman" w:cs="Times New Roman"/>
                <w:szCs w:val="24"/>
                <w:lang w:eastAsia="lt-LT"/>
              </w:rPr>
              <w:t>investicijos yra naujos, nenaudotos ir atitinka ES darbo saugos reikalavimus (techninis reglamentas „Mašinų sauga“, patvirtintas Lietuvos Respublikos socialinės apsaugos ir darbo ministro 2000 m. kovo 6 d. įsakymu Nr.</w:t>
            </w:r>
            <w:r w:rsidR="00A137F3">
              <w:rPr>
                <w:rFonts w:eastAsia="Times New Roman" w:cs="Times New Roman"/>
                <w:szCs w:val="24"/>
                <w:lang w:eastAsia="lt-LT"/>
              </w:rPr>
              <w:t> </w:t>
            </w:r>
            <w:r w:rsidR="00622553" w:rsidRPr="00670637">
              <w:rPr>
                <w:rFonts w:eastAsia="Times New Roman" w:cs="Times New Roman"/>
                <w:szCs w:val="24"/>
                <w:lang w:eastAsia="lt-LT"/>
              </w:rPr>
              <w:t xml:space="preserve"> 28 „Dėl techninio reglamento „Mašinų </w:t>
            </w:r>
            <w:r>
              <w:rPr>
                <w:rFonts w:eastAsia="Times New Roman" w:cs="Times New Roman"/>
                <w:szCs w:val="24"/>
                <w:lang w:eastAsia="lt-LT"/>
              </w:rPr>
              <w:t>sauga“ patvirtinimo“)</w:t>
            </w:r>
            <w:r w:rsidR="00622553" w:rsidRPr="00670637">
              <w:rPr>
                <w:rFonts w:eastAsia="Times New Roman" w:cs="Times New Roman"/>
                <w:szCs w:val="24"/>
                <w:lang w:eastAsia="lt-LT"/>
              </w:rPr>
              <w:t xml:space="preserve"> </w:t>
            </w:r>
            <w:r>
              <w:rPr>
                <w:rFonts w:eastAsia="Times New Roman" w:cs="Times New Roman"/>
                <w:szCs w:val="24"/>
                <w:lang w:eastAsia="lt-LT"/>
              </w:rPr>
              <w:t>(</w:t>
            </w:r>
            <w:r w:rsidR="00622553" w:rsidRPr="009A0882">
              <w:rPr>
                <w:rFonts w:eastAsia="Times New Roman" w:cs="Times New Roman"/>
                <w:i/>
                <w:szCs w:val="24"/>
                <w:lang w:eastAsia="lt-LT"/>
              </w:rPr>
              <w:t>kai taikoma</w:t>
            </w:r>
            <w:r>
              <w:rPr>
                <w:rFonts w:eastAsia="Times New Roman" w:cs="Times New Roman"/>
                <w:i/>
                <w:szCs w:val="24"/>
                <w:lang w:eastAsia="lt-LT"/>
              </w:rPr>
              <w:t>)</w:t>
            </w:r>
            <w:r w:rsidR="00301165" w:rsidRPr="009A0882">
              <w:rPr>
                <w:rFonts w:cs="Times New Roman"/>
                <w:i/>
                <w:color w:val="000000"/>
                <w:szCs w:val="24"/>
                <w:shd w:val="clear" w:color="auto" w:fill="FFFFFF"/>
              </w:rPr>
              <w:t>.</w:t>
            </w:r>
          </w:p>
        </w:tc>
        <w:tc>
          <w:tcPr>
            <w:tcW w:w="3685" w:type="dxa"/>
          </w:tcPr>
          <w:p w14:paraId="1DDA3FF4" w14:textId="424ADA2C" w:rsidR="00873CC3" w:rsidRPr="00670637" w:rsidRDefault="003709EA" w:rsidP="00873CC3">
            <w:pPr>
              <w:pStyle w:val="Default"/>
              <w:jc w:val="both"/>
            </w:pPr>
            <w:r w:rsidRPr="00670637">
              <w:t>Sankcijos dydis pr</w:t>
            </w:r>
            <w:r w:rsidR="00FA2E61">
              <w:t xml:space="preserve">iklauso nuo nustatyto pažeidimo </w:t>
            </w:r>
            <w:r w:rsidRPr="00670637">
              <w:t>reikšmingumo, masto, trukmės ir pasikartojimo.</w:t>
            </w:r>
          </w:p>
        </w:tc>
        <w:tc>
          <w:tcPr>
            <w:tcW w:w="3970" w:type="dxa"/>
          </w:tcPr>
          <w:p w14:paraId="58D42445" w14:textId="3A5507CF"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50BF8FC" w14:textId="77777777" w:rsidTr="00FD2E5F">
        <w:tc>
          <w:tcPr>
            <w:tcW w:w="7366" w:type="dxa"/>
          </w:tcPr>
          <w:p w14:paraId="4869BCB9" w14:textId="01145DAE" w:rsidR="001F3731" w:rsidRPr="00670637" w:rsidRDefault="000B78AD" w:rsidP="00873CC3">
            <w:pPr>
              <w:tabs>
                <w:tab w:val="left" w:pos="601"/>
              </w:tabs>
              <w:ind w:right="-57"/>
              <w:jc w:val="both"/>
              <w:rPr>
                <w:rFonts w:cs="Times New Roman"/>
                <w:color w:val="000000"/>
                <w:szCs w:val="24"/>
              </w:rPr>
            </w:pPr>
            <w:r>
              <w:rPr>
                <w:rFonts w:eastAsia="Times New Roman" w:cs="Times New Roman"/>
                <w:szCs w:val="24"/>
                <w:lang w:eastAsia="lt-LT"/>
              </w:rPr>
              <w:t>P</w:t>
            </w:r>
            <w:r w:rsidR="009A0882">
              <w:rPr>
                <w:rFonts w:eastAsia="Times New Roman" w:cs="Times New Roman"/>
                <w:szCs w:val="24"/>
                <w:lang w:eastAsia="lt-LT"/>
              </w:rPr>
              <w:t>rivaloma u</w:t>
            </w:r>
            <w:r w:rsidR="00622553" w:rsidRPr="00670637">
              <w:rPr>
                <w:rFonts w:eastAsia="Times New Roman" w:cs="Times New Roman"/>
                <w:szCs w:val="24"/>
                <w:lang w:eastAsia="lt-LT"/>
              </w:rPr>
              <w:t xml:space="preserve">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w:t>
            </w:r>
            <w:r w:rsidR="009A0882">
              <w:rPr>
                <w:rFonts w:eastAsia="Times New Roman" w:cs="Times New Roman"/>
                <w:szCs w:val="24"/>
                <w:lang w:eastAsia="lt-LT"/>
              </w:rPr>
              <w:t>NMA</w:t>
            </w:r>
            <w:r w:rsidR="00622553" w:rsidRPr="00670637">
              <w:rPr>
                <w:rFonts w:eastAsia="Times New Roman" w:cs="Times New Roman"/>
                <w:szCs w:val="24"/>
                <w:lang w:eastAsia="lt-LT"/>
              </w:rPr>
              <w:t xml:space="preserve"> prašymu</w:t>
            </w:r>
            <w:r w:rsidR="00301165" w:rsidRPr="00670637">
              <w:rPr>
                <w:rFonts w:cs="Times New Roman"/>
                <w:color w:val="000000"/>
                <w:szCs w:val="24"/>
              </w:rPr>
              <w:t>.</w:t>
            </w:r>
          </w:p>
        </w:tc>
        <w:tc>
          <w:tcPr>
            <w:tcW w:w="3685" w:type="dxa"/>
          </w:tcPr>
          <w:p w14:paraId="1B79E4BE" w14:textId="1C2F032F" w:rsidR="00873CC3" w:rsidRPr="00670637" w:rsidRDefault="003709EA" w:rsidP="00873CC3">
            <w:pPr>
              <w:pStyle w:val="Default"/>
              <w:jc w:val="both"/>
            </w:pPr>
            <w:r w:rsidRPr="00670637">
              <w:t>Sankcijos dydis priklauso nuo nust</w:t>
            </w:r>
            <w:r w:rsidR="00FA2E61">
              <w:t xml:space="preserve">atyto pažeidimo </w:t>
            </w:r>
            <w:r w:rsidRPr="00670637">
              <w:t>reikšmingumo, masto, trukmės ir pasikartojimo.</w:t>
            </w:r>
          </w:p>
        </w:tc>
        <w:tc>
          <w:tcPr>
            <w:tcW w:w="3970" w:type="dxa"/>
          </w:tcPr>
          <w:p w14:paraId="2E491734" w14:textId="6B19725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7593EC8" w14:textId="77777777" w:rsidTr="00FD2E5F">
        <w:tc>
          <w:tcPr>
            <w:tcW w:w="7366" w:type="dxa"/>
          </w:tcPr>
          <w:p w14:paraId="4813CD67" w14:textId="20C46EDA" w:rsidR="00966345" w:rsidRPr="00670637" w:rsidRDefault="009A0882" w:rsidP="00873CC3">
            <w:pPr>
              <w:tabs>
                <w:tab w:val="left" w:pos="601"/>
              </w:tabs>
              <w:ind w:right="-57"/>
              <w:jc w:val="both"/>
              <w:rPr>
                <w:rFonts w:cs="Times New Roman"/>
                <w:color w:val="000000"/>
                <w:szCs w:val="24"/>
                <w:shd w:val="clear" w:color="auto" w:fill="FFFFFF"/>
              </w:rPr>
            </w:pPr>
            <w:r>
              <w:rPr>
                <w:rFonts w:cs="Times New Roman"/>
                <w:color w:val="000000"/>
                <w:szCs w:val="24"/>
                <w:shd w:val="clear" w:color="auto" w:fill="FFFFFF"/>
              </w:rPr>
              <w:t>Privaloma u</w:t>
            </w:r>
            <w:r w:rsidR="00FC487A" w:rsidRPr="00670637">
              <w:rPr>
                <w:rFonts w:cs="Times New Roman"/>
                <w:color w:val="000000"/>
                <w:szCs w:val="24"/>
                <w:shd w:val="clear" w:color="auto" w:fill="FFFFFF"/>
              </w:rPr>
              <w:t xml:space="preserve">žtikrinti, kad </w:t>
            </w:r>
            <w:r w:rsidR="00622553" w:rsidRPr="00670637">
              <w:rPr>
                <w:rFonts w:cs="Times New Roman"/>
                <w:color w:val="000000"/>
                <w:szCs w:val="24"/>
                <w:shd w:val="clear" w:color="auto" w:fill="FFFFFF"/>
              </w:rPr>
              <w:t xml:space="preserve">pareiškėjui </w:t>
            </w:r>
            <w:r w:rsidR="00A137F3">
              <w:rPr>
                <w:rFonts w:cs="Times New Roman"/>
                <w:color w:val="000000"/>
                <w:szCs w:val="24"/>
                <w:shd w:val="clear" w:color="auto" w:fill="FFFFFF"/>
              </w:rPr>
              <w:t>būtų</w:t>
            </w:r>
            <w:r w:rsidR="00622553" w:rsidRPr="00670637">
              <w:rPr>
                <w:rFonts w:cs="Times New Roman"/>
                <w:color w:val="000000"/>
                <w:szCs w:val="24"/>
                <w:shd w:val="clear" w:color="auto" w:fill="FFFFFF"/>
              </w:rPr>
              <w:t xml:space="preserve"> </w:t>
            </w:r>
            <w:r w:rsidR="00622553" w:rsidRPr="00670637">
              <w:rPr>
                <w:rFonts w:eastAsia="Times New Roman" w:cs="Times New Roman"/>
                <w:szCs w:val="24"/>
                <w:lang w:eastAsia="lt-LT"/>
              </w:rPr>
              <w:t>suteiktas veterinarinis patvirtinimas ar registravimas, arba įsipareigoti, kad veterinarinis patvirtinimas ar registravimas jam bus suteiktas ne vėliau kaip iki paskutinio mokėjimo prašymo pateikimo dienos</w:t>
            </w:r>
            <w:r w:rsidR="00FC487A" w:rsidRPr="00670637">
              <w:rPr>
                <w:rFonts w:cs="Times New Roman"/>
                <w:color w:val="000000"/>
                <w:szCs w:val="24"/>
                <w:shd w:val="clear" w:color="auto" w:fill="FFFFFF"/>
              </w:rPr>
              <w:t>.</w:t>
            </w:r>
          </w:p>
        </w:tc>
        <w:tc>
          <w:tcPr>
            <w:tcW w:w="3685" w:type="dxa"/>
          </w:tcPr>
          <w:p w14:paraId="3ABBB31F" w14:textId="5DB598E5" w:rsidR="00873CC3" w:rsidRPr="00670637" w:rsidRDefault="003709EA" w:rsidP="00873CC3">
            <w:pPr>
              <w:pStyle w:val="Default"/>
              <w:jc w:val="both"/>
            </w:pPr>
            <w:r w:rsidRPr="00670637">
              <w:t>Sankcijos dydis pr</w:t>
            </w:r>
            <w:r w:rsidR="00FA2E61">
              <w:t xml:space="preserve">iklauso nuo nustatyto pažeidimo </w:t>
            </w:r>
            <w:r w:rsidRPr="00670637">
              <w:t>reikšmingumo, masto, trukmės ir pasikartojimo.</w:t>
            </w:r>
          </w:p>
        </w:tc>
        <w:tc>
          <w:tcPr>
            <w:tcW w:w="3970" w:type="dxa"/>
          </w:tcPr>
          <w:p w14:paraId="4DD389C6" w14:textId="4A44E4F3"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7052D84" w14:textId="77777777" w:rsidTr="00FD2E5F">
        <w:tc>
          <w:tcPr>
            <w:tcW w:w="7366" w:type="dxa"/>
          </w:tcPr>
          <w:p w14:paraId="50D650CA" w14:textId="50E7014B" w:rsidR="00966345" w:rsidRPr="00670637" w:rsidRDefault="000108FB" w:rsidP="00873CC3">
            <w:pPr>
              <w:tabs>
                <w:tab w:val="left" w:pos="601"/>
              </w:tabs>
              <w:ind w:right="-57"/>
              <w:jc w:val="both"/>
              <w:rPr>
                <w:rFonts w:cs="Times New Roman"/>
                <w:color w:val="000000"/>
                <w:szCs w:val="24"/>
              </w:rPr>
            </w:pPr>
            <w:r>
              <w:rPr>
                <w:rFonts w:cs="Times New Roman"/>
                <w:color w:val="000000"/>
                <w:szCs w:val="24"/>
              </w:rPr>
              <w:lastRenderedPageBreak/>
              <w:t>D</w:t>
            </w:r>
            <w:r w:rsidR="00FC487A" w:rsidRPr="00670637">
              <w:rPr>
                <w:rFonts w:cs="Times New Roman"/>
                <w:color w:val="000000"/>
                <w:szCs w:val="24"/>
              </w:rPr>
              <w:t xml:space="preserve">uomenys apie gaunamą (gautą) paramą </w:t>
            </w:r>
            <w:r>
              <w:rPr>
                <w:rFonts w:cs="Times New Roman"/>
                <w:color w:val="000000"/>
                <w:szCs w:val="24"/>
              </w:rPr>
              <w:t>turės būti</w:t>
            </w:r>
            <w:r w:rsidR="00FC487A" w:rsidRPr="00670637">
              <w:rPr>
                <w:rFonts w:cs="Times New Roman"/>
                <w:color w:val="000000"/>
                <w:szCs w:val="24"/>
              </w:rPr>
              <w:t xml:space="preserve">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685" w:type="dxa"/>
          </w:tcPr>
          <w:p w14:paraId="48E625B5" w14:textId="4241F5BF" w:rsidR="00873CC3" w:rsidRPr="00670637" w:rsidRDefault="003709EA" w:rsidP="00873CC3">
            <w:pPr>
              <w:pStyle w:val="Default"/>
              <w:jc w:val="both"/>
            </w:pPr>
            <w:r w:rsidRPr="00670637">
              <w:t>Sankcijos dydis priklauso nuo nustatyto pažeidimo</w:t>
            </w:r>
            <w:r w:rsidR="00FA2E61">
              <w:t xml:space="preserve"> </w:t>
            </w:r>
            <w:r w:rsidRPr="00670637">
              <w:t>reikšmingumo, masto, trukmės ir pasikartojimo.</w:t>
            </w:r>
          </w:p>
        </w:tc>
        <w:tc>
          <w:tcPr>
            <w:tcW w:w="3970" w:type="dxa"/>
          </w:tcPr>
          <w:p w14:paraId="40415FCE" w14:textId="50101AA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0E2CC136" w14:textId="77777777" w:rsidTr="00FD2E5F">
        <w:tc>
          <w:tcPr>
            <w:tcW w:w="7366" w:type="dxa"/>
          </w:tcPr>
          <w:p w14:paraId="2D52326F" w14:textId="5A337500" w:rsidR="00124624" w:rsidRPr="00670637" w:rsidRDefault="00D10E88" w:rsidP="00C57F7A">
            <w:pPr>
              <w:shd w:val="clear" w:color="auto" w:fill="FFFFFF"/>
              <w:jc w:val="both"/>
              <w:rPr>
                <w:rFonts w:cs="Times New Roman"/>
                <w:color w:val="000000"/>
                <w:szCs w:val="24"/>
                <w:shd w:val="clear" w:color="auto" w:fill="FFFFFF"/>
              </w:rPr>
            </w:pPr>
            <w:r>
              <w:rPr>
                <w:rFonts w:cs="Times New Roman"/>
                <w:color w:val="000000"/>
                <w:szCs w:val="24"/>
                <w:shd w:val="clear" w:color="auto" w:fill="FFFFFF"/>
              </w:rPr>
              <w:t>NMA</w:t>
            </w:r>
            <w:r w:rsidR="00FB4C93" w:rsidRPr="00670637">
              <w:rPr>
                <w:rFonts w:cs="Times New Roman"/>
                <w:color w:val="000000"/>
                <w:szCs w:val="24"/>
                <w:shd w:val="clear" w:color="auto" w:fill="FFFFFF"/>
              </w:rPr>
              <w:t xml:space="preserve"> pateiktus duomenis kontrolės tikslams gali panaudoti ir kitos Lietuvos Respublikos ir ES institucijos.</w:t>
            </w:r>
          </w:p>
        </w:tc>
        <w:tc>
          <w:tcPr>
            <w:tcW w:w="3685" w:type="dxa"/>
          </w:tcPr>
          <w:p w14:paraId="4565A27E" w14:textId="673AFE50" w:rsidR="00873CC3" w:rsidRPr="00670637" w:rsidRDefault="00FB4C93" w:rsidP="00873CC3">
            <w:pPr>
              <w:pStyle w:val="Default"/>
              <w:jc w:val="both"/>
            </w:pPr>
            <w:r w:rsidRPr="00670637">
              <w:t>Sankcijos dydis priklau</w:t>
            </w:r>
            <w:r w:rsidR="00FA2E61">
              <w:t xml:space="preserve">so nuo nustatyto pažeidimo </w:t>
            </w:r>
            <w:r w:rsidRPr="00670637">
              <w:t>reikšmingumo, masto, trukmės ir pasikartojimo.</w:t>
            </w:r>
          </w:p>
        </w:tc>
        <w:tc>
          <w:tcPr>
            <w:tcW w:w="3970" w:type="dxa"/>
          </w:tcPr>
          <w:p w14:paraId="67179144" w14:textId="4E01B2B6"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5D90E7FE" w14:textId="77777777" w:rsidTr="00FD2E5F">
        <w:tc>
          <w:tcPr>
            <w:tcW w:w="7366" w:type="dxa"/>
          </w:tcPr>
          <w:p w14:paraId="35952281" w14:textId="62C90732" w:rsidR="00124624" w:rsidRPr="00670637" w:rsidRDefault="008F7AE7" w:rsidP="00C57F7A">
            <w:pPr>
              <w:tabs>
                <w:tab w:val="left" w:pos="601"/>
              </w:tabs>
              <w:ind w:right="-57"/>
              <w:jc w:val="both"/>
              <w:rPr>
                <w:rFonts w:cs="Times New Roman"/>
                <w:color w:val="000000"/>
                <w:szCs w:val="24"/>
                <w:shd w:val="clear" w:color="auto" w:fill="FFFFFF"/>
              </w:rPr>
            </w:pPr>
            <w:r>
              <w:rPr>
                <w:rFonts w:cs="Times New Roman"/>
                <w:color w:val="000000"/>
                <w:szCs w:val="24"/>
                <w:shd w:val="clear" w:color="auto" w:fill="FFFFFF"/>
              </w:rPr>
              <w:t>V</w:t>
            </w:r>
            <w:r w:rsidR="0008609F" w:rsidRPr="00670637">
              <w:rPr>
                <w:rFonts w:cs="Times New Roman"/>
                <w:color w:val="000000"/>
                <w:szCs w:val="24"/>
                <w:shd w:val="clear" w:color="auto" w:fill="FFFFFF"/>
              </w:rPr>
              <w:t>eikla, susijusi su projekto įgyvendinimu, b</w:t>
            </w:r>
            <w:r>
              <w:rPr>
                <w:rFonts w:cs="Times New Roman"/>
                <w:color w:val="000000"/>
                <w:szCs w:val="24"/>
                <w:shd w:val="clear" w:color="auto" w:fill="FFFFFF"/>
              </w:rPr>
              <w:t>us</w:t>
            </w:r>
            <w:r w:rsidR="0008609F" w:rsidRPr="00670637">
              <w:rPr>
                <w:rFonts w:cs="Times New Roman"/>
                <w:color w:val="000000"/>
                <w:szCs w:val="24"/>
                <w:shd w:val="clear" w:color="auto" w:fill="FFFFFF"/>
              </w:rPr>
              <w:t xml:space="preserve"> tikrinama po paramos paraiškos pateikimo dienos bet kuriame projekto įgyvendinimo etape ir projekto kontrolės laikotarpiu.</w:t>
            </w:r>
          </w:p>
        </w:tc>
        <w:tc>
          <w:tcPr>
            <w:tcW w:w="3685" w:type="dxa"/>
          </w:tcPr>
          <w:p w14:paraId="17810D94" w14:textId="5FE65BFB" w:rsidR="0008609F" w:rsidRPr="00670637" w:rsidRDefault="0008609F" w:rsidP="0008609F">
            <w:pPr>
              <w:spacing w:line="254" w:lineRule="atLeast"/>
              <w:jc w:val="both"/>
              <w:rPr>
                <w:rFonts w:eastAsia="Times New Roman" w:cs="Times New Roman"/>
                <w:color w:val="000000"/>
                <w:szCs w:val="24"/>
                <w:lang w:eastAsia="lt-LT"/>
              </w:rPr>
            </w:pPr>
            <w:r w:rsidRPr="00670637">
              <w:rPr>
                <w:rFonts w:eastAsia="Times New Roman" w:cs="Times New Roman"/>
                <w:color w:val="000000"/>
                <w:szCs w:val="24"/>
                <w:lang w:eastAsia="lt-LT"/>
              </w:rPr>
              <w:t>Paramos neskyrimas arba paramos sumažinimas ir (arba) susigrąžinimas 100 proc. nuo paramos sumos.</w:t>
            </w:r>
          </w:p>
          <w:p w14:paraId="35597B24" w14:textId="1B68A3C3" w:rsidR="00873CC3" w:rsidRPr="00670637" w:rsidRDefault="00873CC3" w:rsidP="00873CC3">
            <w:pPr>
              <w:pStyle w:val="Default"/>
              <w:jc w:val="both"/>
            </w:pPr>
          </w:p>
        </w:tc>
        <w:tc>
          <w:tcPr>
            <w:tcW w:w="3970" w:type="dxa"/>
          </w:tcPr>
          <w:p w14:paraId="44D5EA78" w14:textId="3231CB15"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BBA4012" w14:textId="77777777" w:rsidTr="00FD2E5F">
        <w:tc>
          <w:tcPr>
            <w:tcW w:w="7366" w:type="dxa"/>
          </w:tcPr>
          <w:p w14:paraId="0FA8E617" w14:textId="7C2A51F6" w:rsidR="00124624" w:rsidRPr="00670637" w:rsidRDefault="00566C4A" w:rsidP="00873CC3">
            <w:pPr>
              <w:tabs>
                <w:tab w:val="left" w:pos="601"/>
              </w:tabs>
              <w:ind w:right="-57"/>
              <w:jc w:val="both"/>
              <w:rPr>
                <w:rFonts w:cs="Times New Roman"/>
                <w:color w:val="000000"/>
                <w:szCs w:val="24"/>
                <w:shd w:val="clear" w:color="auto" w:fill="FFFFFF"/>
              </w:rPr>
            </w:pPr>
            <w:r>
              <w:rPr>
                <w:rFonts w:eastAsia="Times New Roman" w:cs="Times New Roman"/>
                <w:szCs w:val="24"/>
                <w:lang w:eastAsia="lt-LT"/>
              </w:rPr>
              <w:t>N</w:t>
            </w:r>
            <w:r w:rsidR="00B97023" w:rsidRPr="007C33F8">
              <w:rPr>
                <w:rFonts w:eastAsia="Times New Roman" w:cs="Times New Roman"/>
                <w:szCs w:val="24"/>
                <w:lang w:eastAsia="lt-LT"/>
              </w:rPr>
              <w:t xml:space="preserve">uo paramos paraiškos pateikimo dienos iki projekto kontrolės laikotarpio pabaigos </w:t>
            </w:r>
            <w:r>
              <w:rPr>
                <w:rFonts w:eastAsia="Times New Roman" w:cs="Times New Roman"/>
                <w:szCs w:val="24"/>
                <w:lang w:eastAsia="lt-LT"/>
              </w:rPr>
              <w:t>nesukurti</w:t>
            </w:r>
            <w:r w:rsidR="00B97023" w:rsidRPr="007C33F8">
              <w:rPr>
                <w:rFonts w:eastAsia="Times New Roman" w:cs="Times New Roman"/>
                <w:szCs w:val="24"/>
                <w:lang w:eastAsia="lt-LT"/>
              </w:rPr>
              <w:t xml:space="preserve"> neteisėtai </w:t>
            </w:r>
            <w:r>
              <w:rPr>
                <w:rFonts w:eastAsia="Times New Roman" w:cs="Times New Roman"/>
                <w:szCs w:val="24"/>
                <w:lang w:eastAsia="lt-LT"/>
              </w:rPr>
              <w:t>tokiai paramai gauti reikalingų sąlygų</w:t>
            </w:r>
            <w:r w:rsidR="00B97023" w:rsidRPr="007C33F8">
              <w:rPr>
                <w:rFonts w:eastAsia="Times New Roman" w:cs="Times New Roman"/>
                <w:szCs w:val="24"/>
                <w:lang w:eastAsia="lt-LT"/>
              </w:rPr>
              <w:t xml:space="preserve"> (remiantis Galimai neteisėtų sąlygų gauti paramą nustatymo metodika)</w:t>
            </w:r>
            <w:r w:rsidR="00BC5756" w:rsidRPr="00670637">
              <w:rPr>
                <w:rFonts w:cs="Times New Roman"/>
                <w:color w:val="000000"/>
                <w:szCs w:val="24"/>
                <w:shd w:val="clear" w:color="auto" w:fill="FFFFFF"/>
              </w:rPr>
              <w:t>.</w:t>
            </w:r>
          </w:p>
        </w:tc>
        <w:tc>
          <w:tcPr>
            <w:tcW w:w="3685" w:type="dxa"/>
          </w:tcPr>
          <w:p w14:paraId="5D8FC031" w14:textId="27B8495E" w:rsidR="00873CC3" w:rsidRPr="00670637" w:rsidRDefault="000312EB" w:rsidP="00873CC3">
            <w:pPr>
              <w:pStyle w:val="Default"/>
              <w:jc w:val="both"/>
            </w:pPr>
            <w:r w:rsidRPr="00670637">
              <w:t>Paramos sumažinimas ir (arba) paramos susigrąžinimas 100 proc. nuo paramos sumos.</w:t>
            </w:r>
          </w:p>
        </w:tc>
        <w:tc>
          <w:tcPr>
            <w:tcW w:w="3970" w:type="dxa"/>
          </w:tcPr>
          <w:p w14:paraId="6ECD0EB6" w14:textId="3B48ABB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7309734" w14:textId="77777777" w:rsidTr="00FD2E5F">
        <w:trPr>
          <w:trHeight w:val="1978"/>
        </w:trPr>
        <w:tc>
          <w:tcPr>
            <w:tcW w:w="7366" w:type="dxa"/>
          </w:tcPr>
          <w:p w14:paraId="548B2466" w14:textId="740FFDAD" w:rsidR="007D2E78" w:rsidRPr="00670637" w:rsidRDefault="00B97023" w:rsidP="00873CC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Įgyvendi</w:t>
            </w:r>
            <w:r w:rsidR="00233C0E">
              <w:rPr>
                <w:rFonts w:eastAsia="Times New Roman" w:cs="Times New Roman"/>
                <w:szCs w:val="24"/>
                <w:lang w:eastAsia="lt-LT"/>
              </w:rPr>
              <w:t xml:space="preserve">nus projektą ekonominio gyvybingumo rodiklių reikšmės </w:t>
            </w:r>
            <w:r w:rsidR="00D10E88">
              <w:rPr>
                <w:rFonts w:eastAsia="Times New Roman" w:cs="Times New Roman"/>
                <w:szCs w:val="24"/>
                <w:lang w:eastAsia="lt-LT"/>
              </w:rPr>
              <w:t>turės atitikti</w:t>
            </w:r>
            <w:r w:rsidR="00233C0E">
              <w:rPr>
                <w:rFonts w:eastAsia="Times New Roman" w:cs="Times New Roman"/>
                <w:szCs w:val="24"/>
                <w:lang w:eastAsia="lt-LT"/>
              </w:rPr>
              <w:t xml:space="preserve"> </w:t>
            </w:r>
            <w:r w:rsidRPr="00670637">
              <w:rPr>
                <w:rFonts w:eastAsia="Times New Roman" w:cs="Times New Roman"/>
                <w:szCs w:val="24"/>
                <w:lang w:eastAsia="lt-LT"/>
              </w:rPr>
              <w:t xml:space="preserve"> </w:t>
            </w:r>
            <w:r w:rsidR="00233C0E" w:rsidRPr="00233C0E">
              <w:rPr>
                <w:rFonts w:eastAsia="Times New Roman" w:cs="Times New Roman"/>
                <w:szCs w:val="24"/>
                <w:lang w:eastAsia="lt-LT"/>
              </w:rPr>
              <w:t>ekonominio gyvybingu</w:t>
            </w:r>
            <w:r w:rsidR="00233C0E">
              <w:rPr>
                <w:rFonts w:eastAsia="Times New Roman" w:cs="Times New Roman"/>
                <w:szCs w:val="24"/>
                <w:lang w:eastAsia="lt-LT"/>
              </w:rPr>
              <w:t>mo rodiklių reikšmes,</w:t>
            </w:r>
            <w:r w:rsidR="00656083">
              <w:rPr>
                <w:rFonts w:eastAsia="Times New Roman" w:cs="Times New Roman"/>
                <w:szCs w:val="24"/>
                <w:lang w:eastAsia="lt-LT"/>
              </w:rPr>
              <w:t xml:space="preserve"> nustatytas Ekonominio </w:t>
            </w:r>
            <w:proofErr w:type="spellStart"/>
            <w:r w:rsidR="00656083">
              <w:rPr>
                <w:rFonts w:eastAsia="Times New Roman" w:cs="Times New Roman"/>
                <w:szCs w:val="24"/>
                <w:lang w:eastAsia="lt-LT"/>
              </w:rPr>
              <w:t>gy</w:t>
            </w:r>
            <w:r w:rsidRPr="00670637">
              <w:rPr>
                <w:rFonts w:eastAsia="Times New Roman" w:cs="Times New Roman"/>
                <w:szCs w:val="24"/>
                <w:lang w:eastAsia="lt-LT"/>
              </w:rPr>
              <w:t>ybingumo</w:t>
            </w:r>
            <w:proofErr w:type="spellEnd"/>
            <w:r w:rsidRPr="00670637">
              <w:rPr>
                <w:rFonts w:eastAsia="Times New Roman" w:cs="Times New Roman"/>
                <w:szCs w:val="24"/>
                <w:lang w:eastAsia="lt-LT"/>
              </w:rPr>
              <w:t xml:space="preserve"> taisyklėse</w:t>
            </w:r>
            <w:r w:rsidR="0057126D" w:rsidRPr="00670637">
              <w:rPr>
                <w:rFonts w:cs="Times New Roman"/>
                <w:color w:val="000000"/>
                <w:szCs w:val="24"/>
                <w:shd w:val="clear" w:color="auto" w:fill="FFFFFF"/>
              </w:rPr>
              <w:t>.</w:t>
            </w:r>
          </w:p>
        </w:tc>
        <w:tc>
          <w:tcPr>
            <w:tcW w:w="3685" w:type="dxa"/>
          </w:tcPr>
          <w:p w14:paraId="79004248" w14:textId="716D25F8" w:rsidR="00873CC3" w:rsidRPr="00670637" w:rsidRDefault="0057126D" w:rsidP="00873CC3">
            <w:pPr>
              <w:pStyle w:val="Default"/>
              <w:jc w:val="both"/>
            </w:pPr>
            <w:r w:rsidRPr="00670637">
              <w:t>Paramos susigrąžinimas.</w:t>
            </w:r>
          </w:p>
        </w:tc>
        <w:tc>
          <w:tcPr>
            <w:tcW w:w="3970" w:type="dxa"/>
          </w:tcPr>
          <w:p w14:paraId="19FBAD35" w14:textId="6DF13398"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64FB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03462672" w14:textId="77777777" w:rsidTr="00FD2E5F">
        <w:tc>
          <w:tcPr>
            <w:tcW w:w="7366" w:type="dxa"/>
          </w:tcPr>
          <w:p w14:paraId="051CBA6A" w14:textId="675883F2" w:rsidR="00832212" w:rsidRPr="00670637" w:rsidRDefault="000868B3"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lastRenderedPageBreak/>
              <w:t xml:space="preserve">Kai </w:t>
            </w:r>
            <w:r w:rsidR="003A2B80" w:rsidRPr="00670637">
              <w:rPr>
                <w:rFonts w:cs="Times New Roman"/>
                <w:szCs w:val="24"/>
              </w:rPr>
              <w:t>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Aplinkos apsaugos agentūros išvada, kad numatoma įgyvendinti projekto veikla leistina pasirinktoje vietoje, arba išvada, kad poveikio aplinkai vertinimo atlikti neprivaloma (įskaitant planų ar programų įgyvendinimo poveikio įsteigtoms ar potencialioms „</w:t>
            </w:r>
            <w:proofErr w:type="spellStart"/>
            <w:r w:rsidR="003A2B80" w:rsidRPr="00670637">
              <w:rPr>
                <w:rFonts w:cs="Times New Roman"/>
                <w:szCs w:val="24"/>
              </w:rPr>
              <w:t>Natura</w:t>
            </w:r>
            <w:proofErr w:type="spellEnd"/>
            <w:r w:rsidR="003A2B80" w:rsidRPr="00670637">
              <w:rPr>
                <w:rFonts w:cs="Times New Roman"/>
                <w:szCs w:val="24"/>
              </w:rPr>
              <w:t xml:space="preserve"> 2000“ teritorijoms reikalingumo išvadą, jeigu projektas gali daryti įtaką „</w:t>
            </w:r>
            <w:proofErr w:type="spellStart"/>
            <w:r w:rsidR="003A2B80" w:rsidRPr="00670637">
              <w:rPr>
                <w:rFonts w:cs="Times New Roman"/>
                <w:szCs w:val="24"/>
              </w:rPr>
              <w:t>Natura</w:t>
            </w:r>
            <w:proofErr w:type="spellEnd"/>
            <w:r w:rsidR="003A2B80" w:rsidRPr="00670637">
              <w:rPr>
                <w:rFonts w:cs="Times New Roman"/>
                <w:szCs w:val="24"/>
              </w:rPr>
              <w:t xml:space="preserve"> 2000“ teritorijai)</w:t>
            </w:r>
            <w:r w:rsidR="00BE7B22">
              <w:rPr>
                <w:rFonts w:cs="Times New Roman"/>
                <w:szCs w:val="24"/>
              </w:rPr>
              <w:t>.</w:t>
            </w:r>
          </w:p>
        </w:tc>
        <w:tc>
          <w:tcPr>
            <w:tcW w:w="3685" w:type="dxa"/>
          </w:tcPr>
          <w:p w14:paraId="3A282E5A" w14:textId="66426437" w:rsidR="00873CC3" w:rsidRPr="00670637" w:rsidRDefault="000868B3" w:rsidP="00873CC3">
            <w:pPr>
              <w:jc w:val="both"/>
              <w:rPr>
                <w:rFonts w:cs="Times New Roman"/>
                <w:color w:val="000000"/>
                <w:szCs w:val="24"/>
              </w:rPr>
            </w:pPr>
            <w:r w:rsidRPr="00670637">
              <w:rPr>
                <w:rFonts w:cs="Times New Roman"/>
                <w:color w:val="000000"/>
                <w:szCs w:val="24"/>
              </w:rPr>
              <w:t>Sankcijos dydis priklauso nuo nustatyto pažeidimo</w:t>
            </w:r>
            <w:r w:rsidR="00FA2E61">
              <w:rPr>
                <w:rFonts w:cs="Times New Roman"/>
                <w:color w:val="000000"/>
                <w:szCs w:val="24"/>
              </w:rPr>
              <w:t xml:space="preserve"> </w:t>
            </w:r>
            <w:r w:rsidRPr="00670637">
              <w:rPr>
                <w:rFonts w:cs="Times New Roman"/>
                <w:color w:val="000000"/>
                <w:szCs w:val="24"/>
              </w:rPr>
              <w:t>reikšmingumo, masto, trukmės ir pasikartojimo</w:t>
            </w:r>
            <w:r w:rsidRPr="00670637">
              <w:rPr>
                <w:rFonts w:cs="Times New Roman"/>
                <w:szCs w:val="24"/>
              </w:rPr>
              <w:t>.</w:t>
            </w:r>
          </w:p>
        </w:tc>
        <w:tc>
          <w:tcPr>
            <w:tcW w:w="3970" w:type="dxa"/>
          </w:tcPr>
          <w:p w14:paraId="3287153A" w14:textId="1D4AA44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805EFC"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D9E48F8" w14:textId="77777777" w:rsidTr="00FD2E5F">
        <w:tc>
          <w:tcPr>
            <w:tcW w:w="7366" w:type="dxa"/>
          </w:tcPr>
          <w:p w14:paraId="090C9950" w14:textId="04EC91C5" w:rsidR="00895DD0" w:rsidRPr="00670637" w:rsidRDefault="001B44DE" w:rsidP="00873CC3">
            <w:pPr>
              <w:tabs>
                <w:tab w:val="left" w:pos="601"/>
              </w:tabs>
              <w:ind w:right="-57"/>
              <w:jc w:val="both"/>
              <w:rPr>
                <w:rFonts w:cs="Times New Roman"/>
                <w:color w:val="000000"/>
                <w:szCs w:val="24"/>
              </w:rPr>
            </w:pPr>
            <w:r w:rsidRPr="00670637">
              <w:rPr>
                <w:rFonts w:cs="Times New Roman"/>
                <w:color w:val="000000"/>
                <w:szCs w:val="24"/>
              </w:rPr>
              <w:t>Paramos gavėjas</w:t>
            </w:r>
            <w:r w:rsidR="00FC2B14">
              <w:rPr>
                <w:rFonts w:cs="Times New Roman"/>
                <w:color w:val="000000"/>
                <w:szCs w:val="24"/>
              </w:rPr>
              <w:t xml:space="preserve"> su </w:t>
            </w:r>
            <w:r w:rsidR="00FC2B14" w:rsidRPr="00BF2FD6">
              <w:rPr>
                <w:rFonts w:cs="Times New Roman"/>
                <w:color w:val="000000"/>
                <w:szCs w:val="24"/>
              </w:rPr>
              <w:t>galutin</w:t>
            </w:r>
            <w:r w:rsidR="00FC2B14">
              <w:rPr>
                <w:rFonts w:cs="Times New Roman"/>
                <w:color w:val="000000"/>
                <w:szCs w:val="24"/>
              </w:rPr>
              <w:t xml:space="preserve">iu mokėjimo prašymu </w:t>
            </w:r>
            <w:r w:rsidRPr="00670637">
              <w:rPr>
                <w:rFonts w:cs="Times New Roman"/>
                <w:color w:val="000000"/>
                <w:szCs w:val="24"/>
              </w:rPr>
              <w:t xml:space="preserve">kartu pateikia galutinę projekto įgyvendinimo ataskaitą, o 5 metus po galutinio paramos lėšų išmokėjimo, t. y. per 4 mėnesius kiekvieniems kalendoriniams metams pasibaigus, – užbaigto projekto metinę ataskaitą. </w:t>
            </w:r>
          </w:p>
        </w:tc>
        <w:tc>
          <w:tcPr>
            <w:tcW w:w="3685" w:type="dxa"/>
          </w:tcPr>
          <w:p w14:paraId="43624D55" w14:textId="61FB2ADE" w:rsidR="00873CC3" w:rsidRPr="00670637" w:rsidRDefault="002A2E7E" w:rsidP="00FA2E61">
            <w:pPr>
              <w:spacing w:line="254" w:lineRule="atLeast"/>
              <w:jc w:val="both"/>
              <w:rPr>
                <w:rFonts w:cs="Times New Roman"/>
                <w:color w:val="000000" w:themeColor="text1"/>
                <w:szCs w:val="24"/>
                <w:highlight w:val="green"/>
              </w:rPr>
            </w:pPr>
            <w:r w:rsidRPr="00670637">
              <w:rPr>
                <w:rFonts w:cs="Times New Roman"/>
                <w:szCs w:val="24"/>
              </w:rPr>
              <w:t>Paramos susigrąžinimas</w:t>
            </w:r>
            <w:r w:rsidR="00AD797B" w:rsidRPr="00670637">
              <w:rPr>
                <w:rFonts w:cs="Times New Roman"/>
                <w:szCs w:val="24"/>
              </w:rPr>
              <w:t xml:space="preserve"> 0,5 proc. nuo išmokėtos paramos sumos</w:t>
            </w:r>
            <w:r w:rsidRPr="00670637">
              <w:rPr>
                <w:rFonts w:cs="Times New Roman"/>
                <w:szCs w:val="24"/>
              </w:rPr>
              <w:t>.</w:t>
            </w:r>
            <w:r w:rsidR="00AD797B" w:rsidRPr="00670637">
              <w:rPr>
                <w:rFonts w:cs="Times New Roman"/>
                <w:szCs w:val="24"/>
              </w:rPr>
              <w:t xml:space="preserve"> </w:t>
            </w:r>
          </w:p>
        </w:tc>
        <w:tc>
          <w:tcPr>
            <w:tcW w:w="3970" w:type="dxa"/>
          </w:tcPr>
          <w:p w14:paraId="2D3D8EDC" w14:textId="54E5A76B" w:rsidR="00873CC3" w:rsidRPr="00670637" w:rsidRDefault="00873CC3" w:rsidP="00873CC3">
            <w:pPr>
              <w:jc w:val="both"/>
              <w:rPr>
                <w:rFonts w:cs="Times New Roman"/>
                <w:color w:val="000000" w:themeColor="text1"/>
                <w:szCs w:val="24"/>
                <w:highlight w:val="green"/>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DFBB711" w14:textId="77777777" w:rsidTr="00FD2E5F">
        <w:tc>
          <w:tcPr>
            <w:tcW w:w="7366" w:type="dxa"/>
          </w:tcPr>
          <w:p w14:paraId="400CE42A" w14:textId="532A02BC" w:rsidR="00895DD0" w:rsidRPr="00670637" w:rsidRDefault="00895DD0" w:rsidP="00873CC3">
            <w:pPr>
              <w:tabs>
                <w:tab w:val="left" w:pos="601"/>
              </w:tabs>
              <w:ind w:right="-57"/>
              <w:jc w:val="both"/>
              <w:rPr>
                <w:rFonts w:cs="Times New Roman"/>
                <w:color w:val="000000"/>
                <w:szCs w:val="24"/>
              </w:rPr>
            </w:pPr>
            <w:r w:rsidRPr="00670637">
              <w:rPr>
                <w:rFonts w:cs="Times New Roman"/>
                <w:color w:val="000000"/>
                <w:szCs w:val="24"/>
              </w:rPr>
              <w:t xml:space="preserve">Baigęs įgyvendinti projektą paramos gavėjas pateikia </w:t>
            </w:r>
            <w:r w:rsidR="00D10E88">
              <w:rPr>
                <w:rFonts w:cs="Times New Roman"/>
                <w:color w:val="000000"/>
                <w:szCs w:val="24"/>
              </w:rPr>
              <w:t>NMA</w:t>
            </w:r>
            <w:r w:rsidRPr="00670637">
              <w:rPr>
                <w:rFonts w:cs="Times New Roman"/>
                <w:color w:val="000000"/>
                <w:szCs w:val="24"/>
              </w:rPr>
              <w:t xml:space="preserve"> galutinį mokėjimo prašymą, kuriame deklaruoja per laikotarpį nuo paskutinio mokėjimo prašymo patirtas ir apmokėtas tinkamas finansuoti išlaidas.</w:t>
            </w:r>
          </w:p>
        </w:tc>
        <w:tc>
          <w:tcPr>
            <w:tcW w:w="3685" w:type="dxa"/>
          </w:tcPr>
          <w:p w14:paraId="0D159F66" w14:textId="783F18EF" w:rsidR="00486358" w:rsidRPr="00670637" w:rsidRDefault="00873CC3" w:rsidP="00486358">
            <w:pPr>
              <w:spacing w:line="254" w:lineRule="atLeast"/>
              <w:jc w:val="both"/>
              <w:rPr>
                <w:rFonts w:eastAsia="Times New Roman" w:cs="Times New Roman"/>
                <w:color w:val="000000"/>
                <w:szCs w:val="24"/>
                <w:lang w:eastAsia="lt-LT"/>
              </w:rPr>
            </w:pPr>
            <w:r w:rsidRPr="00670637">
              <w:rPr>
                <w:rFonts w:cs="Times New Roman"/>
                <w:color w:val="000000" w:themeColor="text1"/>
                <w:szCs w:val="24"/>
              </w:rPr>
              <w:t xml:space="preserve">Už pavėluotai pateiktą mokėjimo prašymą – </w:t>
            </w:r>
            <w:r w:rsidR="002A2E7E" w:rsidRPr="00670637">
              <w:rPr>
                <w:rFonts w:eastAsia="Times New Roman" w:cs="Times New Roman"/>
                <w:color w:val="000000"/>
                <w:szCs w:val="24"/>
                <w:lang w:eastAsia="lt-LT"/>
              </w:rPr>
              <w:t xml:space="preserve">paramos sumažinimas </w:t>
            </w:r>
            <w:r w:rsidR="00486358" w:rsidRPr="00670637">
              <w:rPr>
                <w:rFonts w:eastAsia="Times New Roman" w:cs="Times New Roman"/>
                <w:color w:val="000000"/>
                <w:szCs w:val="24"/>
                <w:lang w:eastAsia="lt-LT"/>
              </w:rPr>
              <w:t>0,5</w:t>
            </w:r>
            <w:r w:rsidR="00FC2B14">
              <w:rPr>
                <w:rFonts w:eastAsia="Times New Roman" w:cs="Times New Roman"/>
                <w:color w:val="000000"/>
                <w:szCs w:val="24"/>
                <w:lang w:eastAsia="lt-LT"/>
              </w:rPr>
              <w:t> </w:t>
            </w:r>
            <w:r w:rsidR="00486358" w:rsidRPr="00670637">
              <w:rPr>
                <w:rFonts w:eastAsia="Times New Roman" w:cs="Times New Roman"/>
                <w:color w:val="000000"/>
                <w:szCs w:val="24"/>
                <w:lang w:eastAsia="lt-LT"/>
              </w:rPr>
              <w:t>proc. nuo mokėtinos sumos už kiekvieną pavėluotą darbo dieną</w:t>
            </w:r>
            <w:r w:rsidR="002A2E7E" w:rsidRPr="00670637">
              <w:rPr>
                <w:rFonts w:eastAsia="Times New Roman" w:cs="Times New Roman"/>
                <w:color w:val="000000"/>
                <w:szCs w:val="24"/>
                <w:lang w:eastAsia="lt-LT"/>
              </w:rPr>
              <w:t>.</w:t>
            </w:r>
          </w:p>
          <w:p w14:paraId="4999FE31" w14:textId="28CA9B09" w:rsidR="00873CC3" w:rsidRPr="00670637" w:rsidRDefault="00873CC3" w:rsidP="002A2E7E">
            <w:pPr>
              <w:jc w:val="both"/>
              <w:rPr>
                <w:rFonts w:cs="Times New Roman"/>
                <w:szCs w:val="24"/>
              </w:rPr>
            </w:pPr>
            <w:r w:rsidRPr="00670637">
              <w:rPr>
                <w:rFonts w:cs="Times New Roman"/>
                <w:color w:val="000000" w:themeColor="text1"/>
                <w:szCs w:val="24"/>
              </w:rPr>
              <w:t xml:space="preserve">Už nepateiktą mokėjimo prašymą – </w:t>
            </w:r>
            <w:r w:rsidR="002A2E7E" w:rsidRPr="00670637">
              <w:rPr>
                <w:rFonts w:cs="Times New Roman"/>
                <w:szCs w:val="24"/>
              </w:rPr>
              <w:t>paramos sumažinimas</w:t>
            </w:r>
            <w:r w:rsidR="007A6ABE" w:rsidRPr="00670637">
              <w:rPr>
                <w:rFonts w:cs="Times New Roman"/>
                <w:szCs w:val="24"/>
              </w:rPr>
              <w:t xml:space="preserve"> 100 proc. mokėjimo prašy</w:t>
            </w:r>
            <w:r w:rsidR="002A2E7E" w:rsidRPr="00670637">
              <w:rPr>
                <w:rFonts w:cs="Times New Roman"/>
                <w:szCs w:val="24"/>
              </w:rPr>
              <w:t>mo sumos arba paramos sumažinimas ir (arba) paramos susigrąžinimas</w:t>
            </w:r>
            <w:r w:rsidR="007A6ABE" w:rsidRPr="00670637">
              <w:rPr>
                <w:rFonts w:cs="Times New Roman"/>
                <w:szCs w:val="24"/>
              </w:rPr>
              <w:t xml:space="preserve"> 100 proc. nuo paramos sumos</w:t>
            </w:r>
            <w:r w:rsidR="002A2E7E" w:rsidRPr="00670637">
              <w:rPr>
                <w:rFonts w:cs="Times New Roman"/>
                <w:szCs w:val="24"/>
              </w:rPr>
              <w:t>.</w:t>
            </w:r>
          </w:p>
        </w:tc>
        <w:tc>
          <w:tcPr>
            <w:tcW w:w="3970" w:type="dxa"/>
          </w:tcPr>
          <w:p w14:paraId="33B97CF6" w14:textId="15F30F61"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6B57F9" w:rsidRPr="007C33F8" w14:paraId="0C6089F3" w14:textId="77777777" w:rsidTr="00FD2E5F">
        <w:tc>
          <w:tcPr>
            <w:tcW w:w="7366" w:type="dxa"/>
          </w:tcPr>
          <w:p w14:paraId="07F1CF0B" w14:textId="4D5875A8" w:rsidR="006B57F9" w:rsidRDefault="000108FB" w:rsidP="006B57F9">
            <w:pPr>
              <w:tabs>
                <w:tab w:val="left" w:pos="601"/>
              </w:tabs>
              <w:ind w:right="-57"/>
              <w:jc w:val="both"/>
              <w:rPr>
                <w:rFonts w:cs="Times New Roman"/>
                <w:color w:val="000000"/>
                <w:szCs w:val="24"/>
              </w:rPr>
            </w:pPr>
            <w:r>
              <w:rPr>
                <w:rFonts w:cs="Times New Roman"/>
                <w:color w:val="000000"/>
                <w:szCs w:val="24"/>
                <w:shd w:val="clear" w:color="auto" w:fill="FFFFFF"/>
              </w:rPr>
              <w:t>Turi būti pasiekti paramos paraiškoje nustatyti projekto priežiūros rodikliai</w:t>
            </w:r>
            <w:r w:rsidR="006B57F9" w:rsidRPr="006B57F9">
              <w:rPr>
                <w:rFonts w:cs="Times New Roman"/>
                <w:color w:val="000000"/>
                <w:szCs w:val="24"/>
                <w:shd w:val="clear" w:color="auto" w:fill="FFFFFF"/>
              </w:rPr>
              <w:t>, kuriems taikoma pasiekimų kontrolė.</w:t>
            </w:r>
          </w:p>
        </w:tc>
        <w:tc>
          <w:tcPr>
            <w:tcW w:w="3685" w:type="dxa"/>
          </w:tcPr>
          <w:p w14:paraId="62A093F6" w14:textId="43218913" w:rsidR="006B57F9" w:rsidRPr="00670637" w:rsidRDefault="006B57F9" w:rsidP="006B57F9">
            <w:pPr>
              <w:spacing w:line="254" w:lineRule="atLeast"/>
              <w:jc w:val="both"/>
              <w:rPr>
                <w:rFonts w:cs="Times New Roman"/>
                <w:color w:val="000000" w:themeColor="text1"/>
                <w:szCs w:val="24"/>
              </w:rPr>
            </w:pPr>
            <w:r w:rsidRPr="00670637">
              <w:t>Paramos susigrąžinimas. Sankcija skaičiuojama priklausomai nuo nustatytos neatitikties priežiūros rodikliams nuokrypio.</w:t>
            </w:r>
          </w:p>
        </w:tc>
        <w:tc>
          <w:tcPr>
            <w:tcW w:w="3970" w:type="dxa"/>
          </w:tcPr>
          <w:p w14:paraId="455942B2" w14:textId="0AA6CAE0" w:rsidR="006B57F9" w:rsidRPr="00670637" w:rsidRDefault="006B57F9" w:rsidP="006B57F9">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w:t>
            </w:r>
            <w:r w:rsidRPr="00670637">
              <w:rPr>
                <w:rFonts w:cs="Times New Roman"/>
                <w:color w:val="000000" w:themeColor="text1"/>
                <w:szCs w:val="24"/>
              </w:rPr>
              <w:lastRenderedPageBreak/>
              <w:t>taikymo metodika (2015 m. rugpjūčio 13 d. įsakymas Nr. 3D-639)</w:t>
            </w:r>
          </w:p>
        </w:tc>
      </w:tr>
      <w:tr w:rsidR="003C418C" w:rsidRPr="007C33F8" w14:paraId="3B88613E" w14:textId="77777777" w:rsidTr="00FD2E5F">
        <w:tc>
          <w:tcPr>
            <w:tcW w:w="7366" w:type="dxa"/>
          </w:tcPr>
          <w:p w14:paraId="7DCE9755" w14:textId="4406C613" w:rsidR="003C418C" w:rsidRPr="00670637" w:rsidRDefault="003C418C" w:rsidP="003C418C">
            <w:pPr>
              <w:tabs>
                <w:tab w:val="left" w:pos="601"/>
              </w:tabs>
              <w:ind w:right="-57"/>
              <w:jc w:val="both"/>
              <w:rPr>
                <w:rFonts w:cs="Times New Roman"/>
                <w:color w:val="000000"/>
                <w:szCs w:val="24"/>
                <w:shd w:val="clear" w:color="auto" w:fill="FFFFFF"/>
              </w:rPr>
            </w:pPr>
            <w:r>
              <w:rPr>
                <w:rFonts w:cs="Times New Roman"/>
                <w:color w:val="000000" w:themeColor="text1"/>
                <w:szCs w:val="24"/>
              </w:rPr>
              <w:lastRenderedPageBreak/>
              <w:t>Į</w:t>
            </w:r>
            <w:r w:rsidRPr="00670637">
              <w:rPr>
                <w:rFonts w:cs="Times New Roman"/>
                <w:szCs w:val="24"/>
              </w:rPr>
              <w:t>gyvendinus projektą</w:t>
            </w:r>
            <w:r>
              <w:rPr>
                <w:rFonts w:cs="Times New Roman"/>
                <w:szCs w:val="24"/>
              </w:rPr>
              <w:t xml:space="preserve"> turi būti</w:t>
            </w:r>
            <w:r w:rsidRPr="00670637">
              <w:rPr>
                <w:rFonts w:cs="Times New Roman"/>
                <w:szCs w:val="24"/>
              </w:rPr>
              <w:t xml:space="preserve"> sukurtas ir kontrolės laikotarpiu išlaikytas darbo vietų skaičius, išreikštas visos darbo dienos ekvivalentu (ataskaitiniais metais buvęs vidutinis darbuotojų skaičius lyginamas su pirmaisiais metais po projekto įgyvendinimo pabaigos esančiu vidutiniu darbuotojų skaičiumi)</w:t>
            </w:r>
            <w:r w:rsidRPr="00670637">
              <w:rPr>
                <w:rFonts w:cs="Times New Roman"/>
                <w:color w:val="000000"/>
                <w:szCs w:val="24"/>
                <w:shd w:val="clear" w:color="auto" w:fill="FFFFFF"/>
              </w:rPr>
              <w:t xml:space="preserve"> </w:t>
            </w:r>
            <w:r w:rsidRPr="00670637">
              <w:rPr>
                <w:rFonts w:cs="Times New Roman"/>
                <w:szCs w:val="24"/>
              </w:rPr>
              <w:t>(taikoma, jei buvo skirti balai už šį kriterijų)</w:t>
            </w:r>
            <w:r w:rsidRPr="00670637">
              <w:rPr>
                <w:rFonts w:cs="Times New Roman"/>
                <w:color w:val="000000"/>
                <w:szCs w:val="24"/>
                <w:shd w:val="clear" w:color="auto" w:fill="FFFFFF"/>
              </w:rPr>
              <w:t>.</w:t>
            </w:r>
          </w:p>
          <w:p w14:paraId="71923C76" w14:textId="77777777" w:rsidR="003C418C" w:rsidRDefault="003C418C" w:rsidP="003C418C">
            <w:pPr>
              <w:tabs>
                <w:tab w:val="left" w:pos="601"/>
              </w:tabs>
              <w:ind w:right="-57"/>
              <w:jc w:val="both"/>
              <w:rPr>
                <w:rFonts w:cs="Times New Roman"/>
                <w:color w:val="000000"/>
                <w:szCs w:val="24"/>
              </w:rPr>
            </w:pPr>
          </w:p>
        </w:tc>
        <w:tc>
          <w:tcPr>
            <w:tcW w:w="3685" w:type="dxa"/>
          </w:tcPr>
          <w:p w14:paraId="7990844C" w14:textId="776DA935" w:rsidR="003C418C" w:rsidRPr="00670637" w:rsidRDefault="003C418C" w:rsidP="003C418C">
            <w:pPr>
              <w:jc w:val="both"/>
              <w:rPr>
                <w:rFonts w:cs="Times New Roman"/>
                <w:color w:val="000000"/>
                <w:szCs w:val="24"/>
              </w:rPr>
            </w:pPr>
            <w:r w:rsidRPr="00670637">
              <w:rPr>
                <w:rFonts w:cs="Times New Roman"/>
                <w:color w:val="000000"/>
                <w:szCs w:val="24"/>
              </w:rPr>
              <w:t>Paramos sumažinimas ir (arba)</w:t>
            </w:r>
            <w:r>
              <w:rPr>
                <w:rFonts w:cs="Times New Roman"/>
                <w:color w:val="000000"/>
                <w:szCs w:val="24"/>
              </w:rPr>
              <w:t xml:space="preserve"> </w:t>
            </w:r>
            <w:r w:rsidRPr="00670637">
              <w:rPr>
                <w:rFonts w:cs="Times New Roman"/>
                <w:color w:val="000000"/>
                <w:szCs w:val="24"/>
              </w:rPr>
              <w:t>susigrąžinimas nuo paramos sumos.</w:t>
            </w:r>
          </w:p>
          <w:p w14:paraId="122669B0" w14:textId="77777777" w:rsidR="003C418C" w:rsidRPr="00670637" w:rsidRDefault="003C418C" w:rsidP="003C418C">
            <w:pPr>
              <w:spacing w:line="254" w:lineRule="atLeast"/>
              <w:jc w:val="both"/>
              <w:rPr>
                <w:rFonts w:cs="Times New Roman"/>
                <w:color w:val="000000" w:themeColor="text1"/>
                <w:szCs w:val="24"/>
              </w:rPr>
            </w:pPr>
          </w:p>
        </w:tc>
        <w:tc>
          <w:tcPr>
            <w:tcW w:w="3970" w:type="dxa"/>
          </w:tcPr>
          <w:p w14:paraId="66B1514A" w14:textId="38305185" w:rsidR="003C418C" w:rsidRPr="00670637" w:rsidRDefault="003C418C" w:rsidP="003C418C">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3C418C" w:rsidRPr="007C33F8" w14:paraId="166CB3F8" w14:textId="77777777" w:rsidTr="00FD2E5F">
        <w:tc>
          <w:tcPr>
            <w:tcW w:w="7366" w:type="dxa"/>
          </w:tcPr>
          <w:p w14:paraId="3B85CC14" w14:textId="3DB1F45C" w:rsidR="003C418C" w:rsidRDefault="003C418C" w:rsidP="003C418C">
            <w:pPr>
              <w:tabs>
                <w:tab w:val="left" w:pos="601"/>
              </w:tabs>
              <w:ind w:right="-57"/>
              <w:jc w:val="both"/>
              <w:rPr>
                <w:rFonts w:cs="Times New Roman"/>
                <w:color w:val="000000"/>
                <w:szCs w:val="24"/>
              </w:rPr>
            </w:pPr>
            <w:r w:rsidRPr="00670637">
              <w:rPr>
                <w:rFonts w:eastAsia="Times New Roman" w:cs="Times New Roman"/>
                <w:szCs w:val="24"/>
                <w:lang w:eastAsia="lt-LT"/>
              </w:rPr>
              <w:t xml:space="preserve">Visą projekto įgyvendinimo ir kontrolės laikotarpį </w:t>
            </w:r>
            <w:r w:rsidR="00566C4A">
              <w:rPr>
                <w:rFonts w:eastAsia="Times New Roman" w:cs="Times New Roman"/>
                <w:szCs w:val="24"/>
                <w:lang w:eastAsia="lt-LT"/>
              </w:rPr>
              <w:t>negali būti daromos</w:t>
            </w:r>
            <w:r w:rsidRPr="00670637">
              <w:rPr>
                <w:rFonts w:eastAsia="Times New Roman" w:cs="Times New Roman"/>
                <w:szCs w:val="24"/>
                <w:lang w:eastAsia="lt-LT"/>
              </w:rPr>
              <w:t xml:space="preserve"> veik</w:t>
            </w:r>
            <w:r w:rsidR="00566C4A">
              <w:rPr>
                <w:rFonts w:eastAsia="Times New Roman" w:cs="Times New Roman"/>
                <w:szCs w:val="24"/>
                <w:lang w:eastAsia="lt-LT"/>
              </w:rPr>
              <w:t>os</w:t>
            </w:r>
            <w:r w:rsidRPr="00670637">
              <w:rPr>
                <w:rFonts w:eastAsia="Times New Roman" w:cs="Times New Roman"/>
                <w:szCs w:val="24"/>
                <w:lang w:eastAsia="lt-LT"/>
              </w:rPr>
              <w:t xml:space="preserve">, </w:t>
            </w:r>
            <w:r w:rsidR="00566C4A">
              <w:rPr>
                <w:rFonts w:eastAsia="Times New Roman" w:cs="Times New Roman"/>
                <w:szCs w:val="24"/>
                <w:lang w:eastAsia="lt-LT"/>
              </w:rPr>
              <w:t>nurodytos</w:t>
            </w:r>
            <w:r w:rsidRPr="00670637">
              <w:rPr>
                <w:rFonts w:eastAsia="Times New Roman" w:cs="Times New Roman"/>
                <w:szCs w:val="24"/>
                <w:lang w:eastAsia="lt-LT"/>
              </w:rPr>
              <w:t xml:space="preserve"> Reglamento (ES) Nr. 508/2014 10 straipsnio 1 dal</w:t>
            </w:r>
            <w:r>
              <w:rPr>
                <w:rFonts w:eastAsia="Times New Roman" w:cs="Times New Roman"/>
                <w:szCs w:val="24"/>
                <w:lang w:eastAsia="lt-LT"/>
              </w:rPr>
              <w:t>yje</w:t>
            </w:r>
            <w:r w:rsidRPr="00670637">
              <w:rPr>
                <w:rFonts w:cs="Times New Roman"/>
                <w:color w:val="000000"/>
                <w:szCs w:val="24"/>
                <w:shd w:val="clear" w:color="auto" w:fill="FFFFFF"/>
              </w:rPr>
              <w:t>.</w:t>
            </w:r>
          </w:p>
        </w:tc>
        <w:tc>
          <w:tcPr>
            <w:tcW w:w="3685" w:type="dxa"/>
          </w:tcPr>
          <w:p w14:paraId="16F2DDE1" w14:textId="2984E4FF" w:rsidR="003C418C" w:rsidRPr="00670637" w:rsidRDefault="003C418C" w:rsidP="003C418C">
            <w:pPr>
              <w:spacing w:line="254" w:lineRule="atLeast"/>
              <w:jc w:val="both"/>
              <w:rPr>
                <w:rFonts w:cs="Times New Roman"/>
                <w:color w:val="000000" w:themeColor="text1"/>
                <w:szCs w:val="24"/>
              </w:rPr>
            </w:pPr>
            <w:r w:rsidRPr="00670637">
              <w:t>Sankcijos dydis pr</w:t>
            </w:r>
            <w:r w:rsidR="00FA2E61">
              <w:t xml:space="preserve">iklauso nuo nustatyto pažeidimo </w:t>
            </w:r>
            <w:r w:rsidRPr="00670637">
              <w:t>reikšmingumo, masto, trukmės ir pasikartojimo.</w:t>
            </w:r>
          </w:p>
        </w:tc>
        <w:tc>
          <w:tcPr>
            <w:tcW w:w="3970" w:type="dxa"/>
          </w:tcPr>
          <w:p w14:paraId="7E36C691" w14:textId="7C3DBDFC" w:rsidR="003C418C" w:rsidRPr="00670637" w:rsidRDefault="003C418C" w:rsidP="003C418C">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873CC3" w:rsidRPr="007C33F8" w14:paraId="2DC26067" w14:textId="77777777" w:rsidTr="00FD2E5F">
        <w:tc>
          <w:tcPr>
            <w:tcW w:w="7366" w:type="dxa"/>
          </w:tcPr>
          <w:p w14:paraId="787A3068" w14:textId="17CF4A8D" w:rsidR="00873CC3" w:rsidRPr="00670637" w:rsidRDefault="00566C4A" w:rsidP="00873CC3">
            <w:pPr>
              <w:tabs>
                <w:tab w:val="left" w:pos="601"/>
              </w:tabs>
              <w:ind w:right="-57"/>
              <w:jc w:val="both"/>
              <w:rPr>
                <w:rFonts w:cs="Times New Roman"/>
                <w:color w:val="000000" w:themeColor="text1"/>
                <w:szCs w:val="24"/>
              </w:rPr>
            </w:pPr>
            <w:r>
              <w:rPr>
                <w:rFonts w:cs="Times New Roman"/>
                <w:color w:val="000000" w:themeColor="text1"/>
                <w:szCs w:val="24"/>
              </w:rPr>
              <w:t>Turi būti į</w:t>
            </w:r>
            <w:r w:rsidR="00873CC3" w:rsidRPr="00670637">
              <w:rPr>
                <w:rFonts w:cs="Times New Roman"/>
                <w:color w:val="000000" w:themeColor="text1"/>
                <w:szCs w:val="24"/>
              </w:rPr>
              <w:t>vykdyti paramos sutartyje numatyt</w:t>
            </w:r>
            <w:r>
              <w:rPr>
                <w:rFonts w:cs="Times New Roman"/>
                <w:color w:val="000000" w:themeColor="text1"/>
                <w:szCs w:val="24"/>
              </w:rPr>
              <w:t>i</w:t>
            </w:r>
            <w:r w:rsidR="00873CC3" w:rsidRPr="00670637">
              <w:rPr>
                <w:rFonts w:cs="Times New Roman"/>
                <w:color w:val="000000" w:themeColor="text1"/>
                <w:szCs w:val="24"/>
              </w:rPr>
              <w:t xml:space="preserve"> papildom</w:t>
            </w:r>
            <w:r>
              <w:rPr>
                <w:rFonts w:cs="Times New Roman"/>
                <w:color w:val="000000" w:themeColor="text1"/>
                <w:szCs w:val="24"/>
              </w:rPr>
              <w:t>i</w:t>
            </w:r>
            <w:r w:rsidR="00873CC3" w:rsidRPr="00670637">
              <w:rPr>
                <w:rFonts w:cs="Times New Roman"/>
                <w:color w:val="000000" w:themeColor="text1"/>
                <w:szCs w:val="24"/>
              </w:rPr>
              <w:t xml:space="preserve"> įsipareigojim</w:t>
            </w:r>
            <w:r>
              <w:rPr>
                <w:rFonts w:cs="Times New Roman"/>
                <w:color w:val="000000" w:themeColor="text1"/>
                <w:szCs w:val="24"/>
              </w:rPr>
              <w:t>ai</w:t>
            </w:r>
            <w:r w:rsidR="00873CC3" w:rsidRPr="00670637">
              <w:rPr>
                <w:rFonts w:cs="Times New Roman"/>
                <w:color w:val="000000" w:themeColor="text1"/>
                <w:szCs w:val="24"/>
              </w:rPr>
              <w:t xml:space="preserve"> </w:t>
            </w:r>
            <w:r w:rsidR="00873CC3" w:rsidRPr="00F115F5">
              <w:rPr>
                <w:rFonts w:cs="Times New Roman"/>
                <w:i/>
                <w:color w:val="000000" w:themeColor="text1"/>
                <w:szCs w:val="24"/>
              </w:rPr>
              <w:t>(taikoma, jei papildomi įsipareigojimai įtraukti į sutartį)</w:t>
            </w:r>
          </w:p>
        </w:tc>
        <w:tc>
          <w:tcPr>
            <w:tcW w:w="3685" w:type="dxa"/>
          </w:tcPr>
          <w:p w14:paraId="02A00C35" w14:textId="05F613CB" w:rsidR="00873CC3" w:rsidRPr="00670637" w:rsidRDefault="00C67FAB" w:rsidP="00873CC3">
            <w:pPr>
              <w:jc w:val="both"/>
              <w:rPr>
                <w:rFonts w:cs="Times New Roman"/>
                <w:color w:val="000000" w:themeColor="text1"/>
                <w:szCs w:val="24"/>
              </w:rPr>
            </w:pPr>
            <w:r w:rsidRPr="00670637">
              <w:rPr>
                <w:rFonts w:cs="Times New Roman"/>
                <w:color w:val="000000"/>
                <w:szCs w:val="24"/>
              </w:rPr>
              <w:t>Sankcijos dydis pr</w:t>
            </w:r>
            <w:r w:rsidR="00FA2E61">
              <w:rPr>
                <w:rFonts w:cs="Times New Roman"/>
                <w:color w:val="000000"/>
                <w:szCs w:val="24"/>
              </w:rPr>
              <w:t xml:space="preserve">iklauso nuo nustatyto pažeidimo </w:t>
            </w:r>
            <w:r w:rsidRPr="00670637">
              <w:rPr>
                <w:rFonts w:cs="Times New Roman"/>
                <w:color w:val="000000"/>
                <w:szCs w:val="24"/>
              </w:rPr>
              <w:t>reikšmingumo, masto, trukmės ir pasikartojimo</w:t>
            </w:r>
            <w:r w:rsidRPr="00670637">
              <w:rPr>
                <w:rFonts w:cs="Times New Roman"/>
                <w:szCs w:val="24"/>
              </w:rPr>
              <w:t>.</w:t>
            </w:r>
          </w:p>
        </w:tc>
        <w:tc>
          <w:tcPr>
            <w:tcW w:w="3970" w:type="dxa"/>
          </w:tcPr>
          <w:p w14:paraId="5100FBA2" w14:textId="28A1CC7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bl>
    <w:p w14:paraId="4E253FC3" w14:textId="77777777" w:rsidR="0091524D" w:rsidRPr="00670637" w:rsidRDefault="0091524D" w:rsidP="00753B6A">
      <w:pPr>
        <w:spacing w:after="0" w:line="240" w:lineRule="auto"/>
        <w:rPr>
          <w:rFonts w:cs="Times New Roman"/>
          <w:color w:val="000000" w:themeColor="text1"/>
          <w:szCs w:val="24"/>
        </w:rPr>
      </w:pPr>
    </w:p>
    <w:p w14:paraId="060BEC9E" w14:textId="0CD482D3" w:rsidR="0091524D" w:rsidRPr="00670637" w:rsidRDefault="00903D0A" w:rsidP="00DD0FCF">
      <w:pPr>
        <w:tabs>
          <w:tab w:val="left" w:pos="1134"/>
        </w:tabs>
        <w:ind w:firstLine="840"/>
        <w:jc w:val="both"/>
        <w:rPr>
          <w:rFonts w:cs="Times New Roman"/>
          <w:b/>
          <w:i/>
          <w:szCs w:val="24"/>
        </w:rPr>
      </w:pPr>
      <w:r w:rsidRPr="00670637">
        <w:rPr>
          <w:rFonts w:cs="Times New Roman"/>
          <w:b/>
          <w:i/>
          <w:szCs w:val="24"/>
        </w:rPr>
        <w:t xml:space="preserve">Atkreipiame Jūsų dėmesį, kad aukščiau yra išvardyti patys svarbiausi, bet ne visi Jums keliami reikalavimai ir įsipareigojimai, nurodyti </w:t>
      </w:r>
      <w:r w:rsidR="00FC2B14">
        <w:rPr>
          <w:rFonts w:cs="Times New Roman"/>
          <w:b/>
          <w:i/>
          <w:szCs w:val="24"/>
        </w:rPr>
        <w:t>T</w:t>
      </w:r>
      <w:r w:rsidR="00660435" w:rsidRPr="00670637">
        <w:rPr>
          <w:rFonts w:cs="Times New Roman"/>
          <w:b/>
          <w:i/>
          <w:szCs w:val="24"/>
        </w:rPr>
        <w:t>aisykl</w:t>
      </w:r>
      <w:r w:rsidR="00FC2B14">
        <w:rPr>
          <w:rFonts w:cs="Times New Roman"/>
          <w:b/>
          <w:i/>
          <w:szCs w:val="24"/>
        </w:rPr>
        <w:t>ėse</w:t>
      </w:r>
      <w:r w:rsidRPr="00670637">
        <w:rPr>
          <w:rFonts w:cs="Times New Roman"/>
          <w:b/>
          <w:i/>
          <w:szCs w:val="24"/>
        </w:rPr>
        <w:t>.</w:t>
      </w:r>
    </w:p>
    <w:p w14:paraId="3FA5A882" w14:textId="513E4670" w:rsidR="001A694A" w:rsidRPr="00670637" w:rsidRDefault="001A694A" w:rsidP="00DD0FCF">
      <w:pPr>
        <w:tabs>
          <w:tab w:val="left" w:pos="1134"/>
        </w:tabs>
        <w:ind w:firstLine="840"/>
        <w:jc w:val="both"/>
        <w:rPr>
          <w:rFonts w:cs="Times New Roman"/>
          <w:b/>
          <w:i/>
          <w:szCs w:val="24"/>
        </w:rPr>
      </w:pPr>
    </w:p>
    <w:p w14:paraId="28269A19" w14:textId="4FAEF519" w:rsidR="00695E28" w:rsidRPr="00670637" w:rsidRDefault="00695E28" w:rsidP="005D05B8">
      <w:pPr>
        <w:tabs>
          <w:tab w:val="left" w:pos="1134"/>
        </w:tabs>
        <w:jc w:val="center"/>
        <w:rPr>
          <w:rFonts w:cs="Times New Roman"/>
          <w:color w:val="000000" w:themeColor="text1"/>
          <w:szCs w:val="24"/>
        </w:rPr>
      </w:pPr>
      <w:r w:rsidRPr="00670637">
        <w:rPr>
          <w:rFonts w:cs="Times New Roman"/>
          <w:b/>
          <w:i/>
          <w:szCs w:val="24"/>
        </w:rPr>
        <w:t>_________________________</w:t>
      </w:r>
      <w:bookmarkEnd w:id="0"/>
    </w:p>
    <w:sectPr w:rsidR="00695E28" w:rsidRPr="00670637"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18028" w14:textId="77777777" w:rsidR="00D95842" w:rsidRDefault="00D95842" w:rsidP="0091524D">
      <w:pPr>
        <w:spacing w:after="0" w:line="240" w:lineRule="auto"/>
      </w:pPr>
      <w:r>
        <w:separator/>
      </w:r>
    </w:p>
  </w:endnote>
  <w:endnote w:type="continuationSeparator" w:id="0">
    <w:p w14:paraId="264EE929" w14:textId="77777777" w:rsidR="00D95842" w:rsidRDefault="00D95842"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8916" w14:textId="77777777" w:rsidR="00D95842" w:rsidRDefault="00D95842" w:rsidP="0091524D">
      <w:pPr>
        <w:spacing w:after="0" w:line="240" w:lineRule="auto"/>
      </w:pPr>
      <w:r>
        <w:separator/>
      </w:r>
    </w:p>
  </w:footnote>
  <w:footnote w:type="continuationSeparator" w:id="0">
    <w:p w14:paraId="370A4DFF" w14:textId="77777777" w:rsidR="00D95842" w:rsidRDefault="00D95842"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D2F1C73"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60DF"/>
    <w:rsid w:val="000108FB"/>
    <w:rsid w:val="00010FF3"/>
    <w:rsid w:val="00011D3C"/>
    <w:rsid w:val="000143ED"/>
    <w:rsid w:val="00015D91"/>
    <w:rsid w:val="000312EB"/>
    <w:rsid w:val="00042D54"/>
    <w:rsid w:val="00042FF3"/>
    <w:rsid w:val="00046CEA"/>
    <w:rsid w:val="000617F2"/>
    <w:rsid w:val="00067B64"/>
    <w:rsid w:val="0008609F"/>
    <w:rsid w:val="000868B3"/>
    <w:rsid w:val="000929E3"/>
    <w:rsid w:val="0009304F"/>
    <w:rsid w:val="00097678"/>
    <w:rsid w:val="000B78AD"/>
    <w:rsid w:val="000C5D13"/>
    <w:rsid w:val="000D1EEE"/>
    <w:rsid w:val="001019C0"/>
    <w:rsid w:val="001068DB"/>
    <w:rsid w:val="00110E41"/>
    <w:rsid w:val="00111787"/>
    <w:rsid w:val="00124624"/>
    <w:rsid w:val="0013058E"/>
    <w:rsid w:val="00130B6D"/>
    <w:rsid w:val="00131AEA"/>
    <w:rsid w:val="00132B59"/>
    <w:rsid w:val="00135B1F"/>
    <w:rsid w:val="00141639"/>
    <w:rsid w:val="001633C1"/>
    <w:rsid w:val="00164B2F"/>
    <w:rsid w:val="00190D66"/>
    <w:rsid w:val="001A0AF5"/>
    <w:rsid w:val="001A4776"/>
    <w:rsid w:val="001A66FA"/>
    <w:rsid w:val="001A694A"/>
    <w:rsid w:val="001B44DE"/>
    <w:rsid w:val="001E544C"/>
    <w:rsid w:val="001F3731"/>
    <w:rsid w:val="001F5B2C"/>
    <w:rsid w:val="001F6C08"/>
    <w:rsid w:val="00202F55"/>
    <w:rsid w:val="00203F0F"/>
    <w:rsid w:val="002049D8"/>
    <w:rsid w:val="002202B4"/>
    <w:rsid w:val="00233C0E"/>
    <w:rsid w:val="00233DF8"/>
    <w:rsid w:val="00234CCD"/>
    <w:rsid w:val="00252E21"/>
    <w:rsid w:val="00261DC5"/>
    <w:rsid w:val="00265270"/>
    <w:rsid w:val="002669ED"/>
    <w:rsid w:val="00291C6F"/>
    <w:rsid w:val="002A2E7E"/>
    <w:rsid w:val="002A3E25"/>
    <w:rsid w:val="002B1B2B"/>
    <w:rsid w:val="002B7F70"/>
    <w:rsid w:val="002E40D4"/>
    <w:rsid w:val="002E7DC5"/>
    <w:rsid w:val="002F18E0"/>
    <w:rsid w:val="00301165"/>
    <w:rsid w:val="003301DA"/>
    <w:rsid w:val="0033705A"/>
    <w:rsid w:val="00337AE5"/>
    <w:rsid w:val="0034736B"/>
    <w:rsid w:val="00354BBB"/>
    <w:rsid w:val="003556C3"/>
    <w:rsid w:val="003574F6"/>
    <w:rsid w:val="00357AAA"/>
    <w:rsid w:val="00362C6B"/>
    <w:rsid w:val="003709EA"/>
    <w:rsid w:val="00372B94"/>
    <w:rsid w:val="003832A7"/>
    <w:rsid w:val="003A2B80"/>
    <w:rsid w:val="003B15C1"/>
    <w:rsid w:val="003B2A32"/>
    <w:rsid w:val="003B5FF7"/>
    <w:rsid w:val="003C24AA"/>
    <w:rsid w:val="003C418C"/>
    <w:rsid w:val="003C57AF"/>
    <w:rsid w:val="003C76B2"/>
    <w:rsid w:val="003E10AB"/>
    <w:rsid w:val="003E6A82"/>
    <w:rsid w:val="003F2327"/>
    <w:rsid w:val="004104E4"/>
    <w:rsid w:val="004161A4"/>
    <w:rsid w:val="004571E1"/>
    <w:rsid w:val="00471437"/>
    <w:rsid w:val="00472F3B"/>
    <w:rsid w:val="00473E71"/>
    <w:rsid w:val="004740E4"/>
    <w:rsid w:val="00486358"/>
    <w:rsid w:val="0048720A"/>
    <w:rsid w:val="00494F66"/>
    <w:rsid w:val="004A3089"/>
    <w:rsid w:val="00510944"/>
    <w:rsid w:val="005162B1"/>
    <w:rsid w:val="00546C24"/>
    <w:rsid w:val="00565FEC"/>
    <w:rsid w:val="00566C4A"/>
    <w:rsid w:val="00566CB9"/>
    <w:rsid w:val="00570DBD"/>
    <w:rsid w:val="0057126D"/>
    <w:rsid w:val="005803A1"/>
    <w:rsid w:val="00580939"/>
    <w:rsid w:val="005955B1"/>
    <w:rsid w:val="005A3E0E"/>
    <w:rsid w:val="005C3D9B"/>
    <w:rsid w:val="005D0181"/>
    <w:rsid w:val="005D05B8"/>
    <w:rsid w:val="005D28F2"/>
    <w:rsid w:val="005E27D5"/>
    <w:rsid w:val="005E4014"/>
    <w:rsid w:val="005F1572"/>
    <w:rsid w:val="00603F5E"/>
    <w:rsid w:val="00607949"/>
    <w:rsid w:val="00622553"/>
    <w:rsid w:val="00643AB9"/>
    <w:rsid w:val="00644CB7"/>
    <w:rsid w:val="00656083"/>
    <w:rsid w:val="00660435"/>
    <w:rsid w:val="00670637"/>
    <w:rsid w:val="00675B85"/>
    <w:rsid w:val="00676D7F"/>
    <w:rsid w:val="00695E28"/>
    <w:rsid w:val="006A09C9"/>
    <w:rsid w:val="006B2397"/>
    <w:rsid w:val="006B57F9"/>
    <w:rsid w:val="006B76E7"/>
    <w:rsid w:val="006D471B"/>
    <w:rsid w:val="006E150E"/>
    <w:rsid w:val="006E78F3"/>
    <w:rsid w:val="006E7CE4"/>
    <w:rsid w:val="006F02C9"/>
    <w:rsid w:val="006F37CB"/>
    <w:rsid w:val="006F4C0F"/>
    <w:rsid w:val="007070A7"/>
    <w:rsid w:val="00727A8D"/>
    <w:rsid w:val="0074155F"/>
    <w:rsid w:val="0074707A"/>
    <w:rsid w:val="00753B6A"/>
    <w:rsid w:val="00754B79"/>
    <w:rsid w:val="0076052A"/>
    <w:rsid w:val="00760E4B"/>
    <w:rsid w:val="00763E5A"/>
    <w:rsid w:val="007676AE"/>
    <w:rsid w:val="00780688"/>
    <w:rsid w:val="00783DA8"/>
    <w:rsid w:val="00794606"/>
    <w:rsid w:val="00796F48"/>
    <w:rsid w:val="007A6ABE"/>
    <w:rsid w:val="007C33F8"/>
    <w:rsid w:val="007D2E78"/>
    <w:rsid w:val="007E2A06"/>
    <w:rsid w:val="007E4F8C"/>
    <w:rsid w:val="007E7C73"/>
    <w:rsid w:val="007F6604"/>
    <w:rsid w:val="00805EFC"/>
    <w:rsid w:val="00813F29"/>
    <w:rsid w:val="008224AF"/>
    <w:rsid w:val="00832212"/>
    <w:rsid w:val="00841F74"/>
    <w:rsid w:val="0084277D"/>
    <w:rsid w:val="00857DB8"/>
    <w:rsid w:val="00861530"/>
    <w:rsid w:val="00873CC3"/>
    <w:rsid w:val="008774AD"/>
    <w:rsid w:val="00880FD3"/>
    <w:rsid w:val="00887E6F"/>
    <w:rsid w:val="00895DD0"/>
    <w:rsid w:val="008B46C5"/>
    <w:rsid w:val="008B5A88"/>
    <w:rsid w:val="008B66B2"/>
    <w:rsid w:val="008D6BCF"/>
    <w:rsid w:val="008E0274"/>
    <w:rsid w:val="008E2226"/>
    <w:rsid w:val="008F2DD1"/>
    <w:rsid w:val="008F3F9D"/>
    <w:rsid w:val="008F7AE7"/>
    <w:rsid w:val="00903D0A"/>
    <w:rsid w:val="009049AD"/>
    <w:rsid w:val="0091524D"/>
    <w:rsid w:val="00917271"/>
    <w:rsid w:val="00966345"/>
    <w:rsid w:val="0099480E"/>
    <w:rsid w:val="009A0882"/>
    <w:rsid w:val="00A0505C"/>
    <w:rsid w:val="00A137F3"/>
    <w:rsid w:val="00A16262"/>
    <w:rsid w:val="00A16BC3"/>
    <w:rsid w:val="00A22955"/>
    <w:rsid w:val="00A56859"/>
    <w:rsid w:val="00A72B33"/>
    <w:rsid w:val="00A7519D"/>
    <w:rsid w:val="00A75AC2"/>
    <w:rsid w:val="00A77118"/>
    <w:rsid w:val="00A7777B"/>
    <w:rsid w:val="00A87494"/>
    <w:rsid w:val="00AD0823"/>
    <w:rsid w:val="00AD797B"/>
    <w:rsid w:val="00AE1471"/>
    <w:rsid w:val="00AE7AB6"/>
    <w:rsid w:val="00AF1C91"/>
    <w:rsid w:val="00AF2064"/>
    <w:rsid w:val="00B07D6A"/>
    <w:rsid w:val="00B105C1"/>
    <w:rsid w:val="00B11D0C"/>
    <w:rsid w:val="00B406B4"/>
    <w:rsid w:val="00B85C22"/>
    <w:rsid w:val="00B93834"/>
    <w:rsid w:val="00B968DD"/>
    <w:rsid w:val="00B97023"/>
    <w:rsid w:val="00BA0044"/>
    <w:rsid w:val="00BB0D29"/>
    <w:rsid w:val="00BB1529"/>
    <w:rsid w:val="00BC5756"/>
    <w:rsid w:val="00BD0CA3"/>
    <w:rsid w:val="00BE6EC5"/>
    <w:rsid w:val="00BE7B22"/>
    <w:rsid w:val="00C03CC8"/>
    <w:rsid w:val="00C219E8"/>
    <w:rsid w:val="00C40E44"/>
    <w:rsid w:val="00C41643"/>
    <w:rsid w:val="00C43604"/>
    <w:rsid w:val="00C550EC"/>
    <w:rsid w:val="00C57F7A"/>
    <w:rsid w:val="00C62186"/>
    <w:rsid w:val="00C63861"/>
    <w:rsid w:val="00C657D7"/>
    <w:rsid w:val="00C67FAB"/>
    <w:rsid w:val="00C75442"/>
    <w:rsid w:val="00C76C2B"/>
    <w:rsid w:val="00CA06EE"/>
    <w:rsid w:val="00CA227C"/>
    <w:rsid w:val="00CC016D"/>
    <w:rsid w:val="00CC7496"/>
    <w:rsid w:val="00CD4097"/>
    <w:rsid w:val="00D07BF3"/>
    <w:rsid w:val="00D1058F"/>
    <w:rsid w:val="00D10E88"/>
    <w:rsid w:val="00D27A2E"/>
    <w:rsid w:val="00D31779"/>
    <w:rsid w:val="00D41B40"/>
    <w:rsid w:val="00D42C9A"/>
    <w:rsid w:val="00D46A9B"/>
    <w:rsid w:val="00D47AAA"/>
    <w:rsid w:val="00D60836"/>
    <w:rsid w:val="00D64FBA"/>
    <w:rsid w:val="00D76860"/>
    <w:rsid w:val="00D771D4"/>
    <w:rsid w:val="00D83990"/>
    <w:rsid w:val="00D94CB8"/>
    <w:rsid w:val="00D95842"/>
    <w:rsid w:val="00DA0B73"/>
    <w:rsid w:val="00DC564A"/>
    <w:rsid w:val="00DC6EAF"/>
    <w:rsid w:val="00DD0FCF"/>
    <w:rsid w:val="00DE3C76"/>
    <w:rsid w:val="00DF3C3C"/>
    <w:rsid w:val="00DF6233"/>
    <w:rsid w:val="00DF6839"/>
    <w:rsid w:val="00E15C3B"/>
    <w:rsid w:val="00E313CD"/>
    <w:rsid w:val="00E43470"/>
    <w:rsid w:val="00E463A1"/>
    <w:rsid w:val="00E52D15"/>
    <w:rsid w:val="00E54633"/>
    <w:rsid w:val="00E67407"/>
    <w:rsid w:val="00EB29F9"/>
    <w:rsid w:val="00EB4746"/>
    <w:rsid w:val="00EB4C62"/>
    <w:rsid w:val="00EB4F53"/>
    <w:rsid w:val="00EB6960"/>
    <w:rsid w:val="00ED5754"/>
    <w:rsid w:val="00EE1B01"/>
    <w:rsid w:val="00EE3BE0"/>
    <w:rsid w:val="00EF412A"/>
    <w:rsid w:val="00EF43A0"/>
    <w:rsid w:val="00EF738A"/>
    <w:rsid w:val="00F029EC"/>
    <w:rsid w:val="00F058FB"/>
    <w:rsid w:val="00F115F5"/>
    <w:rsid w:val="00F21113"/>
    <w:rsid w:val="00F26006"/>
    <w:rsid w:val="00F53F19"/>
    <w:rsid w:val="00F64DEF"/>
    <w:rsid w:val="00F80A77"/>
    <w:rsid w:val="00F824BA"/>
    <w:rsid w:val="00FA2E61"/>
    <w:rsid w:val="00FB4C93"/>
    <w:rsid w:val="00FB4CAF"/>
    <w:rsid w:val="00FC2B14"/>
    <w:rsid w:val="00FC487A"/>
    <w:rsid w:val="00FC67E2"/>
    <w:rsid w:val="00FD2E5F"/>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430122743">
      <w:bodyDiv w:val="1"/>
      <w:marLeft w:val="0"/>
      <w:marRight w:val="0"/>
      <w:marTop w:val="0"/>
      <w:marBottom w:val="0"/>
      <w:divBdr>
        <w:top w:val="none" w:sz="0" w:space="0" w:color="auto"/>
        <w:left w:val="none" w:sz="0" w:space="0" w:color="auto"/>
        <w:bottom w:val="none" w:sz="0" w:space="0" w:color="auto"/>
        <w:right w:val="none" w:sz="0" w:space="0" w:color="auto"/>
      </w:divBdr>
      <w:divsChild>
        <w:div w:id="223150871">
          <w:marLeft w:val="0"/>
          <w:marRight w:val="0"/>
          <w:marTop w:val="0"/>
          <w:marBottom w:val="0"/>
          <w:divBdr>
            <w:top w:val="none" w:sz="0" w:space="0" w:color="auto"/>
            <w:left w:val="none" w:sz="0" w:space="0" w:color="auto"/>
            <w:bottom w:val="none" w:sz="0" w:space="0" w:color="auto"/>
            <w:right w:val="none" w:sz="0" w:space="0" w:color="auto"/>
          </w:divBdr>
          <w:divsChild>
            <w:div w:id="1766265430">
              <w:marLeft w:val="0"/>
              <w:marRight w:val="0"/>
              <w:marTop w:val="0"/>
              <w:marBottom w:val="0"/>
              <w:divBdr>
                <w:top w:val="none" w:sz="0" w:space="0" w:color="auto"/>
                <w:left w:val="none" w:sz="0" w:space="0" w:color="auto"/>
                <w:bottom w:val="none" w:sz="0" w:space="0" w:color="auto"/>
                <w:right w:val="none" w:sz="0" w:space="0" w:color="auto"/>
              </w:divBdr>
              <w:divsChild>
                <w:div w:id="28923282">
                  <w:marLeft w:val="0"/>
                  <w:marRight w:val="0"/>
                  <w:marTop w:val="0"/>
                  <w:marBottom w:val="0"/>
                  <w:divBdr>
                    <w:top w:val="none" w:sz="0" w:space="0" w:color="auto"/>
                    <w:left w:val="none" w:sz="0" w:space="0" w:color="auto"/>
                    <w:bottom w:val="none" w:sz="0" w:space="0" w:color="auto"/>
                    <w:right w:val="none" w:sz="0" w:space="0" w:color="auto"/>
                  </w:divBdr>
                  <w:divsChild>
                    <w:div w:id="140000220">
                      <w:marLeft w:val="0"/>
                      <w:marRight w:val="0"/>
                      <w:marTop w:val="0"/>
                      <w:marBottom w:val="0"/>
                      <w:divBdr>
                        <w:top w:val="none" w:sz="0" w:space="0" w:color="auto"/>
                        <w:left w:val="none" w:sz="0" w:space="0" w:color="auto"/>
                        <w:bottom w:val="none" w:sz="0" w:space="0" w:color="auto"/>
                        <w:right w:val="none" w:sz="0" w:space="0" w:color="auto"/>
                      </w:divBdr>
                      <w:divsChild>
                        <w:div w:id="1038973433">
                          <w:marLeft w:val="0"/>
                          <w:marRight w:val="0"/>
                          <w:marTop w:val="0"/>
                          <w:marBottom w:val="0"/>
                          <w:divBdr>
                            <w:top w:val="none" w:sz="0" w:space="0" w:color="auto"/>
                            <w:left w:val="none" w:sz="0" w:space="0" w:color="auto"/>
                            <w:bottom w:val="none" w:sz="0" w:space="0" w:color="auto"/>
                            <w:right w:val="none" w:sz="0" w:space="0" w:color="auto"/>
                          </w:divBdr>
                        </w:div>
                        <w:div w:id="17069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9670</Words>
  <Characters>5513</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Daiva Šalkauskė</cp:lastModifiedBy>
  <cp:revision>2</cp:revision>
  <dcterms:created xsi:type="dcterms:W3CDTF">2021-06-02T05:15:00Z</dcterms:created>
  <dcterms:modified xsi:type="dcterms:W3CDTF">2021-06-02T05:15:00Z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