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24D" w:rsidRPr="00C657D7" w:rsidRDefault="0091524D" w:rsidP="0091524D">
      <w:pPr>
        <w:spacing w:after="0" w:line="240" w:lineRule="auto"/>
        <w:jc w:val="center"/>
        <w:rPr>
          <w:b/>
        </w:rPr>
      </w:pPr>
      <w:r w:rsidRPr="00C657D7">
        <w:rPr>
          <w:b/>
        </w:rPr>
        <w:t>ATMINTINĖ</w:t>
      </w:r>
    </w:p>
    <w:p w:rsidR="0091524D" w:rsidRPr="00F668A7" w:rsidRDefault="008106C7" w:rsidP="008106C7">
      <w:pPr>
        <w:spacing w:after="0" w:line="240" w:lineRule="auto"/>
        <w:jc w:val="center"/>
        <w:rPr>
          <w:rFonts w:cs="Times New Roman"/>
          <w:b/>
          <w:caps/>
          <w:color w:val="000000" w:themeColor="text1"/>
          <w:szCs w:val="24"/>
        </w:rPr>
      </w:pPr>
      <w:r w:rsidRPr="00F668A7">
        <w:rPr>
          <w:b/>
          <w:caps/>
        </w:rPr>
        <w:t>P</w:t>
      </w:r>
      <w:r w:rsidR="0007763C" w:rsidRPr="00F668A7">
        <w:rPr>
          <w:b/>
          <w:caps/>
        </w:rPr>
        <w:t>areiškėjams</w:t>
      </w:r>
      <w:r w:rsidRPr="00F668A7">
        <w:rPr>
          <w:b/>
          <w:caps/>
        </w:rPr>
        <w:t>,</w:t>
      </w:r>
      <w:r w:rsidR="0007763C" w:rsidRPr="00F668A7">
        <w:rPr>
          <w:b/>
          <w:caps/>
        </w:rPr>
        <w:t xml:space="preserve"> </w:t>
      </w:r>
      <w:r w:rsidR="0091524D" w:rsidRPr="00F668A7">
        <w:rPr>
          <w:rFonts w:cs="Times New Roman"/>
          <w:b/>
          <w:caps/>
          <w:szCs w:val="24"/>
        </w:rPr>
        <w:t>teikusiems paraiškas 201</w:t>
      </w:r>
      <w:r w:rsidR="008E740D" w:rsidRPr="00F668A7">
        <w:rPr>
          <w:rFonts w:cs="Times New Roman"/>
          <w:b/>
          <w:caps/>
          <w:szCs w:val="24"/>
        </w:rPr>
        <w:t>5</w:t>
      </w:r>
      <w:r w:rsidR="0091524D" w:rsidRPr="00F668A7">
        <w:rPr>
          <w:rFonts w:cs="Times New Roman"/>
          <w:b/>
          <w:caps/>
          <w:szCs w:val="24"/>
        </w:rPr>
        <w:t xml:space="preserve"> m. pagal </w:t>
      </w:r>
      <w:r w:rsidR="008E740D" w:rsidRPr="00F668A7">
        <w:rPr>
          <w:b/>
          <w:caps/>
          <w:color w:val="000000"/>
        </w:rPr>
        <w:t>Lietuvos žuvininkystės sektoriaus 2014–2020 metų veiksmų programos penktojo Sąjungos prioriteto „Prekybos ir perdirbimo skatinimas“</w:t>
      </w:r>
      <w:r w:rsidR="008E740D" w:rsidRPr="00F668A7">
        <w:rPr>
          <w:rStyle w:val="apple-converted-space"/>
          <w:b/>
          <w:caps/>
          <w:color w:val="000000"/>
        </w:rPr>
        <w:t> </w:t>
      </w:r>
      <w:r w:rsidR="008E740D" w:rsidRPr="00F668A7">
        <w:rPr>
          <w:b/>
          <w:caps/>
          <w:color w:val="000000"/>
          <w:lang w:val="en-GB"/>
        </w:rPr>
        <w:t>priemonės</w:t>
      </w:r>
      <w:r w:rsidR="008E740D" w:rsidRPr="00F668A7">
        <w:rPr>
          <w:rStyle w:val="apple-converted-space"/>
          <w:b/>
          <w:bCs/>
          <w:caps/>
          <w:color w:val="000000"/>
          <w:lang w:val="en-GB"/>
        </w:rPr>
        <w:t> </w:t>
      </w:r>
      <w:r w:rsidR="008E740D" w:rsidRPr="00F668A7">
        <w:rPr>
          <w:b/>
          <w:caps/>
          <w:color w:val="000000"/>
          <w:lang w:val="en-GB"/>
        </w:rPr>
        <w:t>„Žvejybos ir akvakultūros produktų perdirbimas“</w:t>
      </w:r>
      <w:r w:rsidR="0091524D" w:rsidRPr="00F668A7">
        <w:rPr>
          <w:rFonts w:cs="Times New Roman"/>
          <w:b/>
          <w:caps/>
          <w:szCs w:val="24"/>
        </w:rPr>
        <w:t xml:space="preserve"> įgyvendinimo taisykles, patvir</w:t>
      </w:r>
      <w:r w:rsidR="003F2327" w:rsidRPr="00F668A7">
        <w:rPr>
          <w:rFonts w:cs="Times New Roman"/>
          <w:b/>
          <w:caps/>
          <w:szCs w:val="24"/>
        </w:rPr>
        <w:t>t</w:t>
      </w:r>
      <w:r w:rsidR="0091524D" w:rsidRPr="00F668A7">
        <w:rPr>
          <w:rFonts w:cs="Times New Roman"/>
          <w:b/>
          <w:caps/>
          <w:szCs w:val="24"/>
        </w:rPr>
        <w:t xml:space="preserve">intas </w:t>
      </w:r>
      <w:r w:rsidR="008E740D" w:rsidRPr="00F668A7">
        <w:rPr>
          <w:rFonts w:cs="Times New Roman"/>
          <w:b/>
          <w:caps/>
          <w:szCs w:val="24"/>
        </w:rPr>
        <w:t xml:space="preserve">Lietuvos Respublikos žemės ūkio ministro </w:t>
      </w:r>
      <w:r w:rsidR="008E740D" w:rsidRPr="00F668A7">
        <w:rPr>
          <w:b/>
          <w:caps/>
          <w:color w:val="000000"/>
        </w:rPr>
        <w:t>2015 m. lapkričio 30 d. įsakymu Nr. 3D-884 „Dėl Lietuvos žuvininkystės sektoriaus 2014–2020 metų veiksmų programos penktojo Sąjungos prioriteto „Prekybos ir perdirbimo skatinimas“</w:t>
      </w:r>
      <w:r w:rsidR="008E740D" w:rsidRPr="00F668A7">
        <w:rPr>
          <w:rStyle w:val="apple-converted-space"/>
          <w:b/>
          <w:caps/>
          <w:color w:val="000000"/>
        </w:rPr>
        <w:t> </w:t>
      </w:r>
      <w:r w:rsidR="008E740D" w:rsidRPr="00F668A7">
        <w:rPr>
          <w:b/>
          <w:caps/>
          <w:color w:val="000000"/>
          <w:lang w:val="en-GB"/>
        </w:rPr>
        <w:t>priemonės</w:t>
      </w:r>
      <w:r w:rsidR="008E740D" w:rsidRPr="00F668A7">
        <w:rPr>
          <w:rStyle w:val="apple-converted-space"/>
          <w:b/>
          <w:bCs/>
          <w:caps/>
          <w:color w:val="000000"/>
          <w:lang w:val="en-GB"/>
        </w:rPr>
        <w:t> </w:t>
      </w:r>
      <w:r w:rsidR="008E740D" w:rsidRPr="00F668A7">
        <w:rPr>
          <w:b/>
          <w:caps/>
          <w:color w:val="000000"/>
          <w:lang w:val="en-GB"/>
        </w:rPr>
        <w:t>„Žvejybos ir akvakultūros produktų perdirbimas“</w:t>
      </w:r>
      <w:r w:rsidR="008E740D" w:rsidRPr="00F668A7">
        <w:rPr>
          <w:rStyle w:val="apple-converted-space"/>
          <w:b/>
          <w:caps/>
          <w:color w:val="000000"/>
        </w:rPr>
        <w:t> </w:t>
      </w:r>
      <w:r w:rsidR="008E740D" w:rsidRPr="00F668A7">
        <w:rPr>
          <w:b/>
          <w:caps/>
          <w:color w:val="000000"/>
        </w:rPr>
        <w:t>įgyvendinimo taisyklių patvirtinimo“</w:t>
      </w:r>
    </w:p>
    <w:p w:rsidR="006E150E" w:rsidRPr="00F668A7" w:rsidRDefault="006E150E" w:rsidP="00F668A7">
      <w:pPr>
        <w:spacing w:after="0" w:line="240" w:lineRule="auto"/>
        <w:jc w:val="center"/>
        <w:rPr>
          <w:rFonts w:cs="Times New Roman"/>
          <w:caps/>
          <w:color w:val="000000" w:themeColor="text1"/>
          <w:szCs w:val="24"/>
        </w:rPr>
      </w:pPr>
    </w:p>
    <w:p w:rsidR="0091524D" w:rsidRDefault="0091524D" w:rsidP="00753B6A">
      <w:pPr>
        <w:spacing w:after="0" w:line="240" w:lineRule="auto"/>
        <w:rPr>
          <w:rFonts w:cs="Times New Roman"/>
          <w:color w:val="000000" w:themeColor="text1"/>
          <w:szCs w:val="24"/>
        </w:rPr>
      </w:pPr>
    </w:p>
    <w:tbl>
      <w:tblPr>
        <w:tblStyle w:val="TableGrid"/>
        <w:tblW w:w="14596" w:type="dxa"/>
        <w:tblLook w:val="04A0" w:firstRow="1" w:lastRow="0" w:firstColumn="1" w:lastColumn="0" w:noHBand="0" w:noVBand="1"/>
      </w:tblPr>
      <w:tblGrid>
        <w:gridCol w:w="8075"/>
        <w:gridCol w:w="3827"/>
        <w:gridCol w:w="2694"/>
      </w:tblGrid>
      <w:tr w:rsidR="0091524D" w:rsidRPr="00337AE5" w:rsidTr="00E15C3B">
        <w:tc>
          <w:tcPr>
            <w:tcW w:w="8075"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Privalu žinoti</w:t>
            </w:r>
          </w:p>
        </w:tc>
        <w:tc>
          <w:tcPr>
            <w:tcW w:w="3827"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Taikoma sankcija</w:t>
            </w:r>
          </w:p>
        </w:tc>
        <w:tc>
          <w:tcPr>
            <w:tcW w:w="2694" w:type="dxa"/>
            <w:shd w:val="clear" w:color="auto" w:fill="D9D9D9" w:themeFill="background1" w:themeFillShade="D9"/>
          </w:tcPr>
          <w:p w:rsidR="0091524D" w:rsidRPr="00494F66" w:rsidRDefault="0091524D" w:rsidP="00B105C1">
            <w:pPr>
              <w:jc w:val="center"/>
              <w:rPr>
                <w:rFonts w:cs="Times New Roman"/>
                <w:b/>
                <w:color w:val="000000" w:themeColor="text1"/>
                <w:szCs w:val="24"/>
              </w:rPr>
            </w:pPr>
            <w:r w:rsidRPr="00494F66">
              <w:rPr>
                <w:rFonts w:cs="Times New Roman"/>
                <w:b/>
                <w:color w:val="000000" w:themeColor="text1"/>
                <w:szCs w:val="24"/>
              </w:rPr>
              <w:t>Nuoroda į teisės aktą</w:t>
            </w:r>
          </w:p>
        </w:tc>
      </w:tr>
      <w:tr w:rsidR="0091524D" w:rsidRPr="00337AE5" w:rsidTr="00E15C3B">
        <w:tc>
          <w:tcPr>
            <w:tcW w:w="8075" w:type="dxa"/>
          </w:tcPr>
          <w:p w:rsidR="0091524D" w:rsidRPr="00494F66" w:rsidRDefault="0006798A" w:rsidP="00DE1068">
            <w:pPr>
              <w:tabs>
                <w:tab w:val="left" w:pos="601"/>
              </w:tabs>
              <w:ind w:right="-57"/>
              <w:jc w:val="both"/>
              <w:rPr>
                <w:rFonts w:cs="Times New Roman"/>
                <w:color w:val="000000" w:themeColor="text1"/>
                <w:szCs w:val="24"/>
              </w:rPr>
            </w:pPr>
            <w:r w:rsidRPr="00FB73E1">
              <w:rPr>
                <w:szCs w:val="24"/>
              </w:rPr>
              <w:t>Nuo paramos paraiškos pateikimo datos iki projekto kontrolės laikotarpio pabaigos tvarkyti buhalterinę apskaitą pagal Lietuvos Respublikos teis</w:t>
            </w:r>
            <w:r w:rsidR="00A90978">
              <w:rPr>
                <w:szCs w:val="24"/>
              </w:rPr>
              <w:t>ės aktų nustatytus reikalavimus</w:t>
            </w:r>
            <w:r w:rsidR="009D3A1D">
              <w:rPr>
                <w:szCs w:val="24"/>
              </w:rPr>
              <w:t>.</w:t>
            </w:r>
          </w:p>
        </w:tc>
        <w:tc>
          <w:tcPr>
            <w:tcW w:w="3827" w:type="dxa"/>
          </w:tcPr>
          <w:p w:rsidR="00A90978" w:rsidRDefault="00A90978" w:rsidP="00A90978">
            <w:pPr>
              <w:pStyle w:val="Text3"/>
              <w:snapToGrid w:val="0"/>
              <w:spacing w:after="0"/>
              <w:ind w:left="0"/>
              <w:jc w:val="left"/>
              <w:rPr>
                <w:szCs w:val="24"/>
                <w:lang w:val="lt-LT"/>
              </w:rPr>
            </w:pPr>
            <w:r w:rsidRPr="007151B4">
              <w:rPr>
                <w:szCs w:val="24"/>
                <w:lang w:val="lt-LT"/>
              </w:rPr>
              <w:t xml:space="preserve">Paramos sumažinimas arba paramos susigrąžinimas </w:t>
            </w:r>
            <w:r>
              <w:rPr>
                <w:szCs w:val="24"/>
                <w:lang w:val="lt-LT"/>
              </w:rPr>
              <w:t>0,5–10</w:t>
            </w:r>
            <w:r w:rsidRPr="007151B4">
              <w:rPr>
                <w:szCs w:val="24"/>
                <w:lang w:val="lt-LT"/>
              </w:rPr>
              <w:t xml:space="preserve"> proc. nuo išmokėtos paramos sumos, bet ne mažiau nei 100,01 Eur</w:t>
            </w:r>
            <w:r>
              <w:rPr>
                <w:szCs w:val="24"/>
                <w:lang w:val="lt-LT"/>
              </w:rPr>
              <w:t>.</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 xml:space="preserve">Sankcijų už </w:t>
            </w:r>
            <w:r>
              <w:rPr>
                <w:rFonts w:cs="Times New Roman"/>
                <w:color w:val="000000" w:themeColor="text1"/>
                <w:szCs w:val="24"/>
              </w:rPr>
              <w:t xml:space="preserve">teisės aktų nuostatų pažeidimus įgyvendinant Lietuvos žuvininkystės </w:t>
            </w:r>
            <w:r w:rsidRPr="00C63861">
              <w:rPr>
                <w:rFonts w:cs="Times New Roman"/>
                <w:color w:val="000000" w:themeColor="text1"/>
                <w:szCs w:val="24"/>
              </w:rPr>
              <w:t xml:space="preserve">sektoriaus 2014–2020 metų veiksmų programos priemones taikymo metodika </w:t>
            </w:r>
            <w:r>
              <w:rPr>
                <w:rFonts w:cs="Times New Roman"/>
                <w:color w:val="000000" w:themeColor="text1"/>
                <w:szCs w:val="24"/>
              </w:rPr>
              <w:t>(2015-08-13</w:t>
            </w:r>
            <w:r w:rsidR="0091524D" w:rsidRPr="00494F66">
              <w:rPr>
                <w:rFonts w:cs="Times New Roman"/>
                <w:color w:val="000000" w:themeColor="text1"/>
                <w:szCs w:val="24"/>
              </w:rPr>
              <w:t xml:space="preserve">, Nr. </w:t>
            </w:r>
            <w:r w:rsidRPr="00C63861">
              <w:rPr>
                <w:rFonts w:cs="Times New Roman"/>
                <w:color w:val="000000" w:themeColor="text1"/>
                <w:szCs w:val="24"/>
              </w:rPr>
              <w:t>3D-639</w:t>
            </w:r>
            <w:r w:rsidR="0091524D" w:rsidRPr="00494F66">
              <w:rPr>
                <w:rFonts w:cs="Times New Roman"/>
                <w:color w:val="000000" w:themeColor="text1"/>
                <w:szCs w:val="24"/>
              </w:rPr>
              <w:t>)</w:t>
            </w:r>
          </w:p>
        </w:tc>
      </w:tr>
      <w:tr w:rsidR="0091524D" w:rsidRPr="00337AE5" w:rsidTr="00E15C3B">
        <w:tc>
          <w:tcPr>
            <w:tcW w:w="8075" w:type="dxa"/>
          </w:tcPr>
          <w:p w:rsidR="0091524D" w:rsidRPr="00494F66" w:rsidRDefault="0006798A" w:rsidP="00DE1068">
            <w:pPr>
              <w:jc w:val="both"/>
              <w:rPr>
                <w:rFonts w:cs="Times New Roman"/>
                <w:color w:val="000000" w:themeColor="text1"/>
                <w:szCs w:val="24"/>
              </w:rPr>
            </w:pPr>
            <w:r w:rsidRPr="00FB73E1">
              <w:rPr>
                <w:color w:val="000000"/>
                <w:szCs w:val="24"/>
              </w:rPr>
              <w:t>Apdrausti turtą, kuriam įsigyti ar sukurti bus panaudota parama, nuo paramos sutarties pasirašymo iki projekto kontrolės laikotarpio pabaigos (didžiausiu turto atkuriamosios vertės draudimu nuo visų galimų rizikos atvejų projekto įgyvendinimo laikotarpiu, o įgyvendinus projektą – likutine verte, atsižvelgiant į atitinkamos rūšies turto naudojimo laiką ir taikomas turto nusidėvėjimo normas, esant draudimo paslaugų prieinamumui). Reikalavimas gali būti netaikomas, jei pareiškėjas įrodo, kad apdrausti paramos lėšomis įgytą ar sukurtą turtą nėra galimybių, ir kartu su mokėjimo prašymu pateikia bent tris šio fakto patvirtinimo oficialius skirtingų draudimo įmonių atsisakymo suteikti draudimo paslaugas raštus</w:t>
            </w:r>
            <w:r w:rsidR="009D3A1D">
              <w:rPr>
                <w:color w:val="000000"/>
                <w:szCs w:val="24"/>
              </w:rPr>
              <w:t>.</w:t>
            </w:r>
          </w:p>
        </w:tc>
        <w:tc>
          <w:tcPr>
            <w:tcW w:w="3827" w:type="dxa"/>
          </w:tcPr>
          <w:p w:rsidR="0091524D" w:rsidRPr="00494F66" w:rsidRDefault="00A90978" w:rsidP="00DE1068">
            <w:pPr>
              <w:jc w:val="both"/>
              <w:rPr>
                <w:rFonts w:cs="Times New Roman"/>
                <w:color w:val="000000" w:themeColor="text1"/>
                <w:szCs w:val="24"/>
              </w:rPr>
            </w:pPr>
            <w:r w:rsidRPr="007151B4">
              <w:rPr>
                <w:szCs w:val="24"/>
              </w:rPr>
              <w:t xml:space="preserve">Paramos sumažinimas </w:t>
            </w:r>
            <w:r>
              <w:rPr>
                <w:szCs w:val="24"/>
              </w:rPr>
              <w:t>ir (</w:t>
            </w:r>
            <w:r w:rsidRPr="007151B4">
              <w:rPr>
                <w:szCs w:val="24"/>
              </w:rPr>
              <w:t>arba</w:t>
            </w:r>
            <w:r>
              <w:rPr>
                <w:szCs w:val="24"/>
              </w:rPr>
              <w:t>)</w:t>
            </w:r>
            <w:r w:rsidRPr="007151B4">
              <w:rPr>
                <w:szCs w:val="24"/>
              </w:rPr>
              <w:t xml:space="preserve"> paramos susigrąžinimas 0,5–4 proc. nuo neapdraustos investicijos sumos be PVM, bet ne mažiau nei 100,01 Eur</w:t>
            </w:r>
            <w:r>
              <w:rPr>
                <w:szCs w:val="24"/>
              </w:rPr>
              <w:t>.</w:t>
            </w:r>
          </w:p>
        </w:tc>
        <w:tc>
          <w:tcPr>
            <w:tcW w:w="2694" w:type="dxa"/>
          </w:tcPr>
          <w:p w:rsidR="0091524D" w:rsidRPr="00494F66" w:rsidRDefault="00C63861" w:rsidP="00DE1068">
            <w:pPr>
              <w:jc w:val="both"/>
              <w:rPr>
                <w:rFonts w:cs="Times New Roman"/>
                <w:color w:val="000000" w:themeColor="text1"/>
                <w:szCs w:val="24"/>
              </w:rPr>
            </w:pPr>
            <w:r w:rsidRPr="00C63861">
              <w:rPr>
                <w:rFonts w:cs="Times New Roman"/>
                <w:color w:val="000000" w:themeColor="text1"/>
                <w:szCs w:val="24"/>
              </w:rPr>
              <w:t>Sankcijų už teisės aktų nuostatų pažeidimus įgyvendinant Lietuvos žuvin</w:t>
            </w:r>
            <w:r w:rsidR="00E15C3B">
              <w:rPr>
                <w:rFonts w:cs="Times New Roman"/>
                <w:color w:val="000000" w:themeColor="text1"/>
                <w:szCs w:val="24"/>
              </w:rPr>
              <w:t xml:space="preserve">inkystės </w:t>
            </w:r>
            <w:r w:rsidRPr="00C63861">
              <w:rPr>
                <w:rFonts w:cs="Times New Roman"/>
                <w:color w:val="000000" w:themeColor="text1"/>
                <w:szCs w:val="24"/>
              </w:rPr>
              <w:t>sektoriaus 2014–2020 metų veiksmų programos priemones taikymo metodika (2015-08-13, Nr. 3D-639)</w:t>
            </w:r>
          </w:p>
        </w:tc>
      </w:tr>
      <w:tr w:rsidR="0091524D" w:rsidRPr="00337AE5" w:rsidTr="00E15C3B">
        <w:tc>
          <w:tcPr>
            <w:tcW w:w="8075" w:type="dxa"/>
          </w:tcPr>
          <w:p w:rsidR="0091524D" w:rsidRPr="00494F66" w:rsidRDefault="0006798A" w:rsidP="00DE1068">
            <w:pPr>
              <w:jc w:val="both"/>
              <w:rPr>
                <w:rFonts w:cs="Times New Roman"/>
                <w:color w:val="000000" w:themeColor="text1"/>
                <w:szCs w:val="24"/>
              </w:rPr>
            </w:pPr>
            <w:r w:rsidRPr="00FB73E1">
              <w:rPr>
                <w:color w:val="000000"/>
                <w:szCs w:val="24"/>
              </w:rPr>
              <w:t xml:space="preserve">Nuo paramos paraiškos pateikimo iki projekto kontrolės laikotarpio pabaigos be rašytinio Agentūros sutikimo nekeisti remiamos veiklos pobūdžio, numatytų investicijų, projekto įgyvendinimo sąlygų ir nuosavybės formos, neįkeisti, neparduoti ir kitaip neperduoti kitam asmeniui už paramos lėšas įgytos nuosavybės, nenutraukti projekto veiklos, nekeisti projekto įgyvendinimo vietos. </w:t>
            </w:r>
            <w:r w:rsidRPr="00FB73E1">
              <w:rPr>
                <w:color w:val="000000"/>
                <w:szCs w:val="24"/>
              </w:rPr>
              <w:lastRenderedPageBreak/>
              <w:t>Leidimą įkeisti turtą kredito įstaigoms Agentūra rašytiniu sutikimu gali suteikti tik tiems paramos gavėjams, kurie projektą finansuoja iš kredito įstaigos suteiktos paskolos</w:t>
            </w:r>
            <w:r w:rsidR="009D3A1D">
              <w:rPr>
                <w:color w:val="000000"/>
                <w:szCs w:val="24"/>
              </w:rPr>
              <w:t>.</w:t>
            </w:r>
          </w:p>
        </w:tc>
        <w:tc>
          <w:tcPr>
            <w:tcW w:w="3827" w:type="dxa"/>
          </w:tcPr>
          <w:p w:rsidR="008106C7" w:rsidRDefault="00844B2D" w:rsidP="00AA5468">
            <w:pPr>
              <w:pStyle w:val="Text3"/>
              <w:snapToGrid w:val="0"/>
              <w:spacing w:after="0"/>
              <w:ind w:left="0"/>
              <w:rPr>
                <w:szCs w:val="24"/>
                <w:lang w:val="lt-LT"/>
              </w:rPr>
            </w:pPr>
            <w:r>
              <w:rPr>
                <w:szCs w:val="24"/>
                <w:lang w:val="lt-LT"/>
              </w:rPr>
              <w:lastRenderedPageBreak/>
              <w:t>Kai</w:t>
            </w:r>
            <w:r w:rsidR="008106C7">
              <w:rPr>
                <w:szCs w:val="24"/>
                <w:lang w:val="lt-LT"/>
              </w:rPr>
              <w:t>:</w:t>
            </w:r>
            <w:r>
              <w:rPr>
                <w:szCs w:val="24"/>
                <w:lang w:val="lt-LT"/>
              </w:rPr>
              <w:t xml:space="preserve"> p</w:t>
            </w:r>
            <w:r w:rsidRPr="007151B4">
              <w:rPr>
                <w:szCs w:val="24"/>
                <w:lang w:val="lt-LT"/>
              </w:rPr>
              <w:t>aramos gavėjas</w:t>
            </w:r>
            <w:r>
              <w:rPr>
                <w:szCs w:val="24"/>
                <w:lang w:val="lt-LT"/>
              </w:rPr>
              <w:t xml:space="preserve"> ar partneris</w:t>
            </w:r>
            <w:r w:rsidRPr="007151B4">
              <w:rPr>
                <w:szCs w:val="24"/>
                <w:lang w:val="lt-LT"/>
              </w:rPr>
              <w:t xml:space="preserve"> </w:t>
            </w:r>
            <w:r>
              <w:rPr>
                <w:szCs w:val="24"/>
                <w:lang w:val="lt-LT"/>
              </w:rPr>
              <w:t>projekto įgyvendinimo ir (arba) kontrolės</w:t>
            </w:r>
            <w:r w:rsidRPr="007151B4">
              <w:rPr>
                <w:szCs w:val="24"/>
                <w:lang w:val="lt-LT"/>
              </w:rPr>
              <w:t xml:space="preserve"> laikotarpiu </w:t>
            </w:r>
            <w:r>
              <w:rPr>
                <w:szCs w:val="24"/>
                <w:lang w:val="lt-LT"/>
              </w:rPr>
              <w:t>pakeičia remiamos veiklos pobūdį</w:t>
            </w:r>
            <w:r w:rsidRPr="007151B4">
              <w:rPr>
                <w:szCs w:val="24"/>
                <w:lang w:val="lt-LT"/>
              </w:rPr>
              <w:t>,</w:t>
            </w:r>
            <w:r>
              <w:rPr>
                <w:szCs w:val="24"/>
                <w:lang w:val="lt-LT"/>
              </w:rPr>
              <w:t xml:space="preserve"> tikslus ar įgyvendinimo sąlygas, kai tokie </w:t>
            </w:r>
            <w:r>
              <w:rPr>
                <w:szCs w:val="24"/>
                <w:lang w:val="lt-LT"/>
              </w:rPr>
              <w:lastRenderedPageBreak/>
              <w:t>veiksmai pakenkia pradiniams projekto tikslams;</w:t>
            </w:r>
            <w:r w:rsidRPr="007151B4">
              <w:rPr>
                <w:szCs w:val="24"/>
                <w:lang w:val="lt-LT"/>
              </w:rPr>
              <w:t xml:space="preserve"> </w:t>
            </w:r>
            <w:r>
              <w:rPr>
                <w:szCs w:val="24"/>
                <w:lang w:val="lt-LT"/>
              </w:rPr>
              <w:t xml:space="preserve">nutraukia projekte numatytą veiklą ar ją perkelia už  Programos įgyvendinimo teritorijos ribų; </w:t>
            </w:r>
            <w:r>
              <w:rPr>
                <w:color w:val="000000"/>
                <w:szCs w:val="24"/>
              </w:rPr>
              <w:t>parduoda</w:t>
            </w:r>
            <w:r w:rsidRPr="000F170F">
              <w:rPr>
                <w:color w:val="000000"/>
                <w:szCs w:val="24"/>
              </w:rPr>
              <w:t xml:space="preserve"> ar </w:t>
            </w:r>
            <w:r>
              <w:rPr>
                <w:color w:val="000000"/>
                <w:szCs w:val="24"/>
              </w:rPr>
              <w:t>kitaip perleidžia turtą, įsigytą</w:t>
            </w:r>
            <w:r w:rsidRPr="000F170F">
              <w:rPr>
                <w:color w:val="000000"/>
                <w:szCs w:val="24"/>
              </w:rPr>
              <w:t xml:space="preserve"> iš paramos lėšų</w:t>
            </w:r>
            <w:r w:rsidR="008106C7">
              <w:rPr>
                <w:color w:val="000000"/>
                <w:szCs w:val="24"/>
              </w:rPr>
              <w:t>;</w:t>
            </w:r>
            <w:r>
              <w:rPr>
                <w:szCs w:val="24"/>
                <w:lang w:val="lt-LT"/>
              </w:rPr>
              <w:t xml:space="preserve"> </w:t>
            </w:r>
          </w:p>
          <w:p w:rsidR="0091524D" w:rsidRDefault="00844B2D" w:rsidP="00AA5468">
            <w:pPr>
              <w:pStyle w:val="Text3"/>
              <w:snapToGrid w:val="0"/>
              <w:spacing w:after="0"/>
              <w:ind w:left="0"/>
              <w:rPr>
                <w:szCs w:val="24"/>
                <w:lang w:val="lt-LT"/>
              </w:rPr>
            </w:pPr>
            <w:r>
              <w:rPr>
                <w:szCs w:val="24"/>
                <w:lang w:val="lt-LT"/>
              </w:rPr>
              <w:t xml:space="preserve">– </w:t>
            </w:r>
            <w:r>
              <w:rPr>
                <w:bCs/>
                <w:szCs w:val="24"/>
                <w:lang w:val="lt-LT"/>
              </w:rPr>
              <w:t>p</w:t>
            </w:r>
            <w:r w:rsidR="002B2096" w:rsidRPr="007151B4">
              <w:rPr>
                <w:bCs/>
                <w:szCs w:val="24"/>
                <w:lang w:val="lt-LT"/>
              </w:rPr>
              <w:t>aramos susigrąžinimas lygus sk</w:t>
            </w:r>
            <w:r w:rsidR="002B2096">
              <w:rPr>
                <w:bCs/>
                <w:szCs w:val="24"/>
                <w:lang w:val="lt-LT"/>
              </w:rPr>
              <w:t>irtos paramos už parduotą turtą</w:t>
            </w:r>
            <w:r w:rsidR="002B2096" w:rsidRPr="007151B4">
              <w:rPr>
                <w:bCs/>
                <w:szCs w:val="24"/>
                <w:lang w:val="lt-LT"/>
              </w:rPr>
              <w:t xml:space="preserve"> vertei arba 100 proc. </w:t>
            </w:r>
            <w:r w:rsidR="002B2096" w:rsidRPr="007151B4">
              <w:rPr>
                <w:szCs w:val="24"/>
                <w:lang w:val="lt-LT"/>
              </w:rPr>
              <w:t>nuo</w:t>
            </w:r>
            <w:r w:rsidR="002B2096" w:rsidRPr="007151B4">
              <w:rPr>
                <w:bCs/>
                <w:szCs w:val="24"/>
                <w:lang w:val="lt-LT"/>
              </w:rPr>
              <w:t xml:space="preserve"> </w:t>
            </w:r>
            <w:r w:rsidR="002B2096" w:rsidRPr="007151B4">
              <w:rPr>
                <w:szCs w:val="24"/>
                <w:lang w:val="lt-LT"/>
              </w:rPr>
              <w:t>išmokėtos paramos sumos</w:t>
            </w:r>
            <w:r w:rsidR="002B2096">
              <w:rPr>
                <w:szCs w:val="24"/>
                <w:lang w:val="lt-LT"/>
              </w:rPr>
              <w:t>.</w:t>
            </w:r>
          </w:p>
          <w:p w:rsidR="00844B2D" w:rsidRPr="002B2096" w:rsidRDefault="00844B2D" w:rsidP="00AA5468">
            <w:pPr>
              <w:pStyle w:val="Text3"/>
              <w:snapToGrid w:val="0"/>
              <w:spacing w:after="0"/>
              <w:ind w:left="0"/>
              <w:rPr>
                <w:bCs/>
                <w:szCs w:val="24"/>
                <w:lang w:val="lt-LT"/>
              </w:rPr>
            </w:pPr>
            <w:r>
              <w:rPr>
                <w:szCs w:val="24"/>
                <w:lang w:val="lt-LT"/>
              </w:rPr>
              <w:t>Kai paramos gavėjas projekto kontrolės</w:t>
            </w:r>
            <w:r w:rsidRPr="007151B4">
              <w:rPr>
                <w:szCs w:val="24"/>
                <w:lang w:val="lt-LT"/>
              </w:rPr>
              <w:t xml:space="preserve"> laikotarpiu be rašytinio Agentūros sutikimo įkeičia turtą, kuriam įsigyti</w:t>
            </w:r>
            <w:r>
              <w:rPr>
                <w:szCs w:val="24"/>
                <w:lang w:val="lt-LT"/>
              </w:rPr>
              <w:t xml:space="preserve"> buvo suteikta parama – </w:t>
            </w:r>
            <w:r>
              <w:rPr>
                <w:bCs/>
                <w:szCs w:val="24"/>
              </w:rPr>
              <w:t>p</w:t>
            </w:r>
            <w:r w:rsidRPr="007151B4">
              <w:rPr>
                <w:bCs/>
                <w:szCs w:val="24"/>
              </w:rPr>
              <w:t>aramos sumažinimas</w:t>
            </w:r>
            <w:r>
              <w:rPr>
                <w:bCs/>
                <w:szCs w:val="24"/>
              </w:rPr>
              <w:t xml:space="preserve"> ir (arba)</w:t>
            </w:r>
            <w:r w:rsidRPr="007151B4">
              <w:rPr>
                <w:bCs/>
                <w:szCs w:val="24"/>
              </w:rPr>
              <w:t xml:space="preserve"> susigrąžinimas</w:t>
            </w:r>
            <w:r w:rsidR="00E80FE6">
              <w:rPr>
                <w:bCs/>
                <w:szCs w:val="24"/>
              </w:rPr>
              <w:t xml:space="preserve"> </w:t>
            </w:r>
            <w:r w:rsidRPr="007151B4">
              <w:rPr>
                <w:bCs/>
                <w:szCs w:val="24"/>
              </w:rPr>
              <w:t>0,5–1</w:t>
            </w:r>
            <w:r>
              <w:rPr>
                <w:bCs/>
                <w:szCs w:val="24"/>
              </w:rPr>
              <w:t>0</w:t>
            </w:r>
            <w:r w:rsidRPr="007151B4">
              <w:rPr>
                <w:bCs/>
                <w:szCs w:val="24"/>
              </w:rPr>
              <w:t xml:space="preserve">0 proc. </w:t>
            </w:r>
            <w:r w:rsidRPr="007151B4">
              <w:rPr>
                <w:szCs w:val="24"/>
              </w:rPr>
              <w:t>nuo</w:t>
            </w:r>
            <w:r w:rsidRPr="007151B4">
              <w:rPr>
                <w:bCs/>
                <w:szCs w:val="24"/>
              </w:rPr>
              <w:t xml:space="preserve"> </w:t>
            </w:r>
            <w:r w:rsidRPr="007151B4">
              <w:rPr>
                <w:szCs w:val="24"/>
              </w:rPr>
              <w:t>investicijos</w:t>
            </w:r>
            <w:r w:rsidRPr="007151B4">
              <w:rPr>
                <w:szCs w:val="24"/>
                <w:lang w:val="lt-LT"/>
              </w:rPr>
              <w:t>, bet ne mažiau nei 100,01 Eur</w:t>
            </w:r>
            <w:r>
              <w:rPr>
                <w:szCs w:val="24"/>
                <w:lang w:val="lt-LT"/>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įgyvendinant Lietuvos žuvininkystės sektoriaus 2014–2020 metų veiksmų </w:t>
            </w:r>
            <w:r w:rsidRPr="00E15C3B">
              <w:rPr>
                <w:rFonts w:cs="Times New Roman"/>
                <w:color w:val="000000" w:themeColor="text1"/>
                <w:szCs w:val="24"/>
              </w:rPr>
              <w:lastRenderedPageBreak/>
              <w:t>programos priemones taikymo metodika (2015-08-13, Nr. 3D-639)</w:t>
            </w:r>
          </w:p>
        </w:tc>
      </w:tr>
      <w:tr w:rsidR="0091524D" w:rsidRPr="00337AE5" w:rsidTr="00E15C3B">
        <w:tc>
          <w:tcPr>
            <w:tcW w:w="8075" w:type="dxa"/>
          </w:tcPr>
          <w:p w:rsidR="00725DA8" w:rsidRPr="00FB73E1" w:rsidRDefault="00725DA8" w:rsidP="002B2096">
            <w:pPr>
              <w:pStyle w:val="BodyText"/>
              <w:tabs>
                <w:tab w:val="left" w:pos="0"/>
              </w:tabs>
              <w:spacing w:line="240" w:lineRule="auto"/>
              <w:rPr>
                <w:color w:val="000000"/>
                <w:szCs w:val="24"/>
              </w:rPr>
            </w:pPr>
            <w:r w:rsidRPr="00FB73E1">
              <w:rPr>
                <w:color w:val="000000"/>
                <w:szCs w:val="24"/>
              </w:rPr>
              <w:lastRenderedPageBreak/>
              <w:t>Sudaryti sąlygas asmenims, turintiems teisę audituoti ir (arba) kontroliuoti, tikrinti, kaip yra vykdoma veikla, laikomasi sąlygų, už ką buvo skirta parama, kaip yra vykdomas projektas ir (arba) kaip vykdoma veikla po lėšų projektui įgyvendinti skyrimo ir (arba) projekto įgyvendinimo pabaigos</w:t>
            </w:r>
            <w:r w:rsidR="009D3A1D">
              <w:rPr>
                <w:color w:val="000000"/>
                <w:szCs w:val="24"/>
              </w:rPr>
              <w:t>.</w:t>
            </w:r>
          </w:p>
          <w:p w:rsidR="0091524D" w:rsidRPr="00494F66" w:rsidRDefault="0091524D" w:rsidP="00DE1068">
            <w:pPr>
              <w:jc w:val="both"/>
              <w:rPr>
                <w:rFonts w:cs="Times New Roman"/>
                <w:color w:val="000000" w:themeColor="text1"/>
                <w:szCs w:val="24"/>
              </w:rPr>
            </w:pPr>
          </w:p>
        </w:tc>
        <w:tc>
          <w:tcPr>
            <w:tcW w:w="3827" w:type="dxa"/>
          </w:tcPr>
          <w:p w:rsidR="002B2096" w:rsidRPr="007151B4" w:rsidRDefault="002B2096" w:rsidP="002B2096">
            <w:pPr>
              <w:pStyle w:val="Text3"/>
              <w:snapToGrid w:val="0"/>
              <w:spacing w:after="0"/>
              <w:ind w:left="0"/>
              <w:jc w:val="left"/>
              <w:rPr>
                <w:szCs w:val="24"/>
                <w:lang w:val="lt-LT"/>
              </w:rPr>
            </w:pPr>
            <w:r w:rsidRPr="007151B4">
              <w:rPr>
                <w:szCs w:val="24"/>
                <w:lang w:val="lt-LT"/>
              </w:rPr>
              <w:t xml:space="preserve">Paramos neskyrimas </w:t>
            </w:r>
            <w:r>
              <w:rPr>
                <w:szCs w:val="24"/>
                <w:lang w:val="lt-LT"/>
              </w:rPr>
              <w:t>arba</w:t>
            </w:r>
            <w:r w:rsidRPr="007151B4">
              <w:rPr>
                <w:szCs w:val="24"/>
                <w:lang w:val="lt-LT"/>
              </w:rPr>
              <w:t xml:space="preserve"> susigrąžinimas</w:t>
            </w:r>
            <w:r>
              <w:rPr>
                <w:szCs w:val="24"/>
                <w:lang w:val="lt-LT"/>
              </w:rPr>
              <w:t xml:space="preserve"> </w:t>
            </w:r>
            <w:r w:rsidRPr="007151B4">
              <w:rPr>
                <w:szCs w:val="24"/>
                <w:lang w:val="lt-LT"/>
              </w:rPr>
              <w:t xml:space="preserve">100 proc. </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DE1068">
            <w:pPr>
              <w:jc w:val="both"/>
              <w:rPr>
                <w:rFonts w:cs="Times New Roman"/>
                <w:color w:val="000000" w:themeColor="text1"/>
                <w:szCs w:val="24"/>
              </w:rPr>
            </w:pPr>
            <w:r w:rsidRPr="00FB73E1">
              <w:rPr>
                <w:color w:val="000000"/>
                <w:szCs w:val="24"/>
              </w:rPr>
              <w:t>Teikti visą informaciją ir duomenis, reikalingus statistikos tikslams ir Veiksmų programos įgyvendinimo stebėsenai bei reikalingiems vertinimams atlikti</w:t>
            </w:r>
            <w:r w:rsidR="009D3A1D">
              <w:rPr>
                <w:color w:val="000000"/>
                <w:szCs w:val="24"/>
              </w:rPr>
              <w:t>.</w:t>
            </w:r>
          </w:p>
        </w:tc>
        <w:tc>
          <w:tcPr>
            <w:tcW w:w="3827" w:type="dxa"/>
          </w:tcPr>
          <w:p w:rsidR="0091524D" w:rsidRPr="00494F66" w:rsidRDefault="003E41E4" w:rsidP="00DE1068">
            <w:pPr>
              <w:jc w:val="both"/>
              <w:rPr>
                <w:rFonts w:cs="Times New Roman"/>
                <w:color w:val="000000" w:themeColor="text1"/>
                <w:szCs w:val="24"/>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szCs w:val="24"/>
              </w:rPr>
              <w:lastRenderedPageBreak/>
              <w:t xml:space="preserve">Viešinti paramą </w:t>
            </w:r>
            <w:r w:rsidRPr="00FB73E1">
              <w:rPr>
                <w:color w:val="000000"/>
                <w:szCs w:val="24"/>
              </w:rPr>
              <w:t xml:space="preserve">Suteiktos paramos pagal Lietuvos žuvininkystės sektoriaus 2014–2020 metų veiksmų programą viešinimo taisyklėse, patvirtintose Lietuvos Respublikos žemės ūkio ministro 2016 m. vasario 25 d. įsakymu Nr. 3D-89 „Dėl Suteiktos paramos pagal Lietuvos žuvininkystės sektoriaus 2014–2020 metų veiksmų programą viešinimo taisyklių patvirtinimo“, </w:t>
            </w:r>
            <w:r w:rsidRPr="00FB73E1">
              <w:rPr>
                <w:szCs w:val="24"/>
              </w:rPr>
              <w:t>nustatyta tvarka</w:t>
            </w:r>
            <w:r w:rsidR="009D3A1D">
              <w:rPr>
                <w:szCs w:val="24"/>
              </w:rPr>
              <w:t>.</w:t>
            </w:r>
          </w:p>
        </w:tc>
        <w:tc>
          <w:tcPr>
            <w:tcW w:w="3827" w:type="dxa"/>
          </w:tcPr>
          <w:p w:rsidR="003E41E4" w:rsidRDefault="003E41E4" w:rsidP="003E41E4">
            <w:pPr>
              <w:pStyle w:val="Text3"/>
              <w:snapToGrid w:val="0"/>
              <w:spacing w:after="0"/>
              <w:ind w:left="0"/>
              <w:jc w:val="left"/>
              <w:rPr>
                <w:szCs w:val="24"/>
                <w:lang w:val="lt-LT"/>
              </w:rPr>
            </w:pPr>
            <w:r>
              <w:rPr>
                <w:szCs w:val="24"/>
                <w:lang w:val="lt-LT"/>
              </w:rPr>
              <w:t>P</w:t>
            </w:r>
            <w:r w:rsidRPr="00177727">
              <w:rPr>
                <w:szCs w:val="24"/>
                <w:lang w:val="lt-LT"/>
              </w:rPr>
              <w:t>aramos teikimo sus</w:t>
            </w:r>
            <w:r>
              <w:rPr>
                <w:szCs w:val="24"/>
                <w:lang w:val="lt-LT"/>
              </w:rPr>
              <w:t xml:space="preserve">tabdymas arba </w:t>
            </w:r>
            <w:r>
              <w:t>paramos sumažinimas (projekto arba verslo plano įgyvendinimo metu) 1</w:t>
            </w:r>
            <w:r w:rsidR="008106C7">
              <w:t> </w:t>
            </w:r>
            <w:r>
              <w:t>proc. nuo skirtos paramos sumos</w:t>
            </w:r>
            <w:r w:rsidR="008106C7">
              <w:t>.</w:t>
            </w:r>
            <w:r>
              <w:rPr>
                <w:szCs w:val="24"/>
                <w:lang w:val="lt-LT"/>
              </w:rPr>
              <w:t xml:space="preserve"> </w:t>
            </w:r>
          </w:p>
          <w:p w:rsidR="0091524D" w:rsidRPr="009D3A1D" w:rsidRDefault="003E41E4" w:rsidP="009D3A1D">
            <w:pPr>
              <w:pStyle w:val="Text3"/>
              <w:snapToGrid w:val="0"/>
              <w:spacing w:after="0"/>
              <w:ind w:left="0"/>
              <w:jc w:val="left"/>
              <w:rPr>
                <w:szCs w:val="24"/>
                <w:lang w:val="lt-LT"/>
              </w:rPr>
            </w:pPr>
            <w:r>
              <w:rPr>
                <w:szCs w:val="24"/>
                <w:lang w:val="lt-LT"/>
              </w:rPr>
              <w:t>P</w:t>
            </w:r>
            <w:r w:rsidRPr="007151B4">
              <w:rPr>
                <w:szCs w:val="24"/>
                <w:lang w:val="lt-LT"/>
              </w:rPr>
              <w:t>aramos susigrąžinimas</w:t>
            </w:r>
            <w:r>
              <w:rPr>
                <w:szCs w:val="24"/>
                <w:lang w:val="lt-LT"/>
              </w:rPr>
              <w:t xml:space="preserve"> (projekto arba verslo plano kontrolės laikotarpiu</w:t>
            </w:r>
            <w:r w:rsidRPr="007151B4">
              <w:rPr>
                <w:szCs w:val="24"/>
                <w:lang w:val="lt-LT"/>
              </w:rPr>
              <w:t>) 0,5 proc. nuo išmokėtos paramos sumos, bet ne mažiau nei 100,01 Eur</w:t>
            </w:r>
            <w:r>
              <w:rPr>
                <w:szCs w:val="24"/>
                <w:lang w:val="lt-LT"/>
              </w:rPr>
              <w:t>.</w:t>
            </w:r>
          </w:p>
        </w:tc>
        <w:tc>
          <w:tcPr>
            <w:tcW w:w="2694" w:type="dxa"/>
          </w:tcPr>
          <w:p w:rsidR="0091524D" w:rsidRPr="00494F66" w:rsidRDefault="009D3A1D"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Nuo paramos paraiškos pateikimo dienos iki projekto kontrolės laikotarpio pabaigos užtikrinti, kad nebus dirbtinai sukurtos tokiai paramai gauti reikalingos sąlygos</w:t>
            </w:r>
            <w:r w:rsidR="009D3A1D">
              <w:rPr>
                <w:color w:val="000000"/>
                <w:szCs w:val="24"/>
              </w:rPr>
              <w:t>.</w:t>
            </w:r>
          </w:p>
        </w:tc>
        <w:tc>
          <w:tcPr>
            <w:tcW w:w="3827" w:type="dxa"/>
          </w:tcPr>
          <w:p w:rsidR="0091524D" w:rsidRPr="00494F66" w:rsidRDefault="003E41E4">
            <w:pPr>
              <w:jc w:val="both"/>
              <w:rPr>
                <w:rFonts w:cs="Times New Roman"/>
                <w:color w:val="000000" w:themeColor="text1"/>
                <w:szCs w:val="24"/>
              </w:rPr>
            </w:pPr>
            <w:r>
              <w:rPr>
                <w:szCs w:val="24"/>
              </w:rPr>
              <w:t xml:space="preserve">Paramos susigrąžinimas </w:t>
            </w:r>
            <w:r w:rsidRPr="007151B4">
              <w:rPr>
                <w:szCs w:val="24"/>
              </w:rPr>
              <w:t xml:space="preserve">100 proc. </w:t>
            </w:r>
            <w:r>
              <w:rPr>
                <w:szCs w:val="24"/>
              </w:rPr>
              <w:t xml:space="preserve">arba </w:t>
            </w:r>
            <w:r w:rsidRPr="007151B4">
              <w:rPr>
                <w:szCs w:val="24"/>
              </w:rPr>
              <w:t>paramos neskyrimas</w:t>
            </w:r>
            <w:r>
              <w:rPr>
                <w:szCs w:val="24"/>
              </w:rPr>
              <w:t>, nutraukiant paramos sutartį.</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9D3A1D">
            <w:pPr>
              <w:tabs>
                <w:tab w:val="left" w:pos="601"/>
              </w:tabs>
              <w:ind w:right="-57"/>
              <w:jc w:val="both"/>
              <w:rPr>
                <w:rFonts w:cs="Times New Roman"/>
                <w:color w:val="000000" w:themeColor="text1"/>
                <w:szCs w:val="24"/>
              </w:rPr>
            </w:pPr>
            <w:r w:rsidRPr="00FB73E1">
              <w:rPr>
                <w:color w:val="000000"/>
                <w:szCs w:val="24"/>
              </w:rPr>
              <w:t xml:space="preserve">Užtikrinti, kad įsigytos investicijos įgyvendinus projektą atitiks gyvūnų gerovės, veterinarijos, higienos, maisto saugos reikalavimus </w:t>
            </w:r>
            <w:r w:rsidRPr="00FB73E1">
              <w:rPr>
                <w:szCs w:val="24"/>
              </w:rPr>
              <w:t>(šis reikalavimas netaikomas, jei numatytos investicijos neturi įtakos minėtų reikalavimų laikymuisi)</w:t>
            </w:r>
            <w:r w:rsidR="009D3A1D">
              <w:rPr>
                <w:szCs w:val="24"/>
              </w:rPr>
              <w:t>.</w:t>
            </w:r>
          </w:p>
        </w:tc>
        <w:tc>
          <w:tcPr>
            <w:tcW w:w="3827" w:type="dxa"/>
          </w:tcPr>
          <w:p w:rsidR="0091524D" w:rsidRPr="00494F66" w:rsidRDefault="00DD4ED9" w:rsidP="00DE1068">
            <w:pPr>
              <w:tabs>
                <w:tab w:val="left" w:pos="2302"/>
              </w:tabs>
              <w:suppressAutoHyphens/>
              <w:snapToGrid w:val="0"/>
              <w:jc w:val="both"/>
              <w:rPr>
                <w:rFonts w:cs="Times New Roman"/>
                <w:color w:val="000000" w:themeColor="text1"/>
                <w:szCs w:val="24"/>
                <w:lang w:eastAsia="ar-SA"/>
              </w:rPr>
            </w:pPr>
            <w:r w:rsidRPr="00494F66">
              <w:rPr>
                <w:rFonts w:cs="Times New Roman"/>
                <w:color w:val="000000"/>
                <w:szCs w:val="24"/>
              </w:rPr>
              <w:t>Sankcijos dydis priklauso nuo nustatyto pažeidimo pobūdžio, masto bei sunkumo</w:t>
            </w:r>
            <w:r w:rsidR="009D3A1D">
              <w:rPr>
                <w:rFonts w:cs="Times New Roman"/>
                <w:color w:val="000000"/>
                <w:szCs w:val="24"/>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DE1068">
            <w:pPr>
              <w:tabs>
                <w:tab w:val="left" w:pos="601"/>
              </w:tabs>
              <w:ind w:right="-57"/>
              <w:jc w:val="both"/>
              <w:rPr>
                <w:rFonts w:cs="Times New Roman"/>
                <w:color w:val="000000" w:themeColor="text1"/>
                <w:spacing w:val="4"/>
                <w:szCs w:val="24"/>
              </w:rPr>
            </w:pPr>
            <w:r w:rsidRPr="00FB73E1">
              <w:rPr>
                <w:szCs w:val="24"/>
              </w:rPr>
              <w:t>Iki projekto kontrolės laikotarpio pabaigos saugoti visus dokumentus, susijusius su projekto įgyvendinimu, ir užtikrinti jų prieinamumą Administravimo taisyklėse nustatyta tvarka</w:t>
            </w:r>
            <w:r w:rsidR="009D3A1D">
              <w:rPr>
                <w:szCs w:val="24"/>
              </w:rPr>
              <w:t>.</w:t>
            </w:r>
          </w:p>
        </w:tc>
        <w:tc>
          <w:tcPr>
            <w:tcW w:w="3827" w:type="dxa"/>
          </w:tcPr>
          <w:p w:rsidR="00F425EE" w:rsidRPr="007151B4" w:rsidRDefault="00F425EE" w:rsidP="00F425EE">
            <w:pPr>
              <w:pStyle w:val="Text3"/>
              <w:snapToGrid w:val="0"/>
              <w:spacing w:after="0"/>
              <w:ind w:left="0"/>
              <w:jc w:val="left"/>
              <w:rPr>
                <w:szCs w:val="24"/>
                <w:lang w:val="lt-LT"/>
              </w:rPr>
            </w:pPr>
            <w:r w:rsidRPr="007151B4">
              <w:rPr>
                <w:szCs w:val="24"/>
                <w:lang w:val="lt-LT"/>
              </w:rPr>
              <w:t xml:space="preserve">Paramos sumažinimas </w:t>
            </w:r>
            <w:r>
              <w:rPr>
                <w:szCs w:val="24"/>
                <w:lang w:val="lt-LT"/>
              </w:rPr>
              <w:t>ir (</w:t>
            </w:r>
            <w:r w:rsidRPr="007151B4">
              <w:rPr>
                <w:szCs w:val="24"/>
                <w:lang w:val="lt-LT"/>
              </w:rPr>
              <w:t>arba</w:t>
            </w:r>
            <w:r>
              <w:rPr>
                <w:szCs w:val="24"/>
                <w:lang w:val="lt-LT"/>
              </w:rPr>
              <w:t>)</w:t>
            </w:r>
            <w:r w:rsidRPr="007151B4">
              <w:rPr>
                <w:szCs w:val="24"/>
                <w:lang w:val="lt-LT"/>
              </w:rPr>
              <w:t xml:space="preserve"> paramos susigrąžinimas 0,5 proc. nuo išmokėtos paramos sumos, bet ne mažiau nei 100,01 Eur</w:t>
            </w:r>
            <w:r>
              <w:rPr>
                <w:szCs w:val="24"/>
                <w:lang w:val="lt-LT"/>
              </w:rPr>
              <w:t>.</w:t>
            </w:r>
          </w:p>
          <w:p w:rsidR="0091524D" w:rsidRPr="00494F66" w:rsidRDefault="0091524D" w:rsidP="00DE1068">
            <w:pPr>
              <w:jc w:val="both"/>
              <w:rPr>
                <w:rFonts w:cs="Times New Roman"/>
                <w:color w:val="000000" w:themeColor="text1"/>
                <w:szCs w:val="24"/>
              </w:rPr>
            </w:pP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DE1068">
            <w:pPr>
              <w:tabs>
                <w:tab w:val="left" w:pos="601"/>
              </w:tabs>
              <w:ind w:right="-57"/>
              <w:jc w:val="both"/>
              <w:rPr>
                <w:rFonts w:cs="Times New Roman"/>
                <w:color w:val="000000" w:themeColor="text1"/>
                <w:spacing w:val="4"/>
                <w:szCs w:val="24"/>
              </w:rPr>
            </w:pPr>
            <w:r w:rsidRPr="00FB73E1">
              <w:rPr>
                <w:szCs w:val="24"/>
              </w:rPr>
              <w:lastRenderedPageBreak/>
              <w:t>Iki projekto įgyvendinimo pabaigos pasiekti ir iki projekto kontrolės pabaigos išlaikyti paraiškoje prognozuotus projekto priežiūros rodiklius</w:t>
            </w:r>
            <w:r w:rsidR="009D3A1D">
              <w:rPr>
                <w:szCs w:val="24"/>
              </w:rPr>
              <w:t>.</w:t>
            </w:r>
          </w:p>
        </w:tc>
        <w:tc>
          <w:tcPr>
            <w:tcW w:w="3827" w:type="dxa"/>
          </w:tcPr>
          <w:p w:rsidR="004B1D2E" w:rsidRPr="007151B4" w:rsidRDefault="004B1D2E" w:rsidP="004B1D2E">
            <w:pPr>
              <w:pStyle w:val="Text3"/>
              <w:tabs>
                <w:tab w:val="clear" w:pos="2302"/>
                <w:tab w:val="left" w:pos="34"/>
              </w:tabs>
              <w:snapToGrid w:val="0"/>
              <w:spacing w:after="0"/>
              <w:ind w:left="0"/>
              <w:jc w:val="left"/>
              <w:rPr>
                <w:szCs w:val="24"/>
                <w:lang w:val="lt-LT"/>
              </w:rPr>
            </w:pPr>
            <w:r>
              <w:rPr>
                <w:szCs w:val="24"/>
                <w:lang w:val="lt-LT"/>
              </w:rPr>
              <w:t xml:space="preserve">Paramos susigrąžinimas </w:t>
            </w:r>
            <w:r w:rsidRPr="007151B4">
              <w:rPr>
                <w:szCs w:val="24"/>
                <w:lang w:val="lt-LT"/>
              </w:rPr>
              <w:t>0,5–100 proc. nuo išmokėtos paramos sumos, bet ne mažiau nei 100,01 Eur</w:t>
            </w:r>
            <w:r>
              <w:rPr>
                <w:szCs w:val="24"/>
                <w:lang w:val="lt-LT"/>
              </w:rPr>
              <w:t>.</w:t>
            </w:r>
          </w:p>
          <w:p w:rsidR="0091524D" w:rsidRPr="00494F66" w:rsidRDefault="0091524D" w:rsidP="00DE1068">
            <w:pPr>
              <w:tabs>
                <w:tab w:val="left" w:pos="2302"/>
              </w:tabs>
              <w:suppressAutoHyphens/>
              <w:snapToGrid w:val="0"/>
              <w:jc w:val="both"/>
              <w:rPr>
                <w:rFonts w:cs="Times New Roman"/>
                <w:color w:val="000000" w:themeColor="text1"/>
                <w:szCs w:val="24"/>
                <w:lang w:eastAsia="ar-SA"/>
              </w:rPr>
            </w:pP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pPr>
              <w:tabs>
                <w:tab w:val="left" w:pos="601"/>
              </w:tabs>
              <w:ind w:right="-57"/>
              <w:jc w:val="both"/>
              <w:rPr>
                <w:rFonts w:cs="Times New Roman"/>
                <w:color w:val="000000" w:themeColor="text1"/>
                <w:spacing w:val="4"/>
                <w:szCs w:val="24"/>
              </w:rPr>
            </w:pPr>
            <w:r>
              <w:rPr>
                <w:szCs w:val="24"/>
              </w:rPr>
              <w:t xml:space="preserve">Užtikrinti, kad bus perdirbama, apdorojama vietinė žuvų produkcija </w:t>
            </w:r>
            <w:r>
              <w:t>(perdirbamos žaliavos kiekis turi sudaryti ne mažiau kaip 20 proc. visos perdirbamos žaliavos kiekio visą projekto kontrolės laikotarpį</w:t>
            </w:r>
            <w:r w:rsidR="008106C7">
              <w:t xml:space="preserve">; </w:t>
            </w:r>
            <w:r w:rsidR="00DD4ED9" w:rsidRPr="00494F66">
              <w:rPr>
                <w:rFonts w:cs="Times New Roman"/>
                <w:szCs w:val="24"/>
              </w:rPr>
              <w:t>taikoma, jei buvo skirti balai už šį kriterijų)</w:t>
            </w:r>
            <w:r w:rsidR="008106C7">
              <w:rPr>
                <w:rFonts w:cs="Times New Roman"/>
                <w:szCs w:val="24"/>
              </w:rPr>
              <w:t>.</w:t>
            </w:r>
          </w:p>
        </w:tc>
        <w:tc>
          <w:tcPr>
            <w:tcW w:w="3827" w:type="dxa"/>
          </w:tcPr>
          <w:p w:rsidR="004B1D2E" w:rsidRPr="007151B4" w:rsidRDefault="004B1D2E" w:rsidP="004B1D2E">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91524D" w:rsidRPr="00494F66" w:rsidRDefault="0091524D" w:rsidP="00DE1068">
            <w:pPr>
              <w:tabs>
                <w:tab w:val="left" w:pos="2302"/>
              </w:tabs>
              <w:suppressAutoHyphens/>
              <w:snapToGrid w:val="0"/>
              <w:jc w:val="both"/>
              <w:rPr>
                <w:rFonts w:cs="Times New Roman"/>
                <w:color w:val="000000" w:themeColor="text1"/>
                <w:szCs w:val="24"/>
                <w:lang w:eastAsia="ar-SA"/>
              </w:rPr>
            </w:pPr>
          </w:p>
        </w:tc>
        <w:tc>
          <w:tcPr>
            <w:tcW w:w="2694" w:type="dxa"/>
          </w:tcPr>
          <w:p w:rsidR="0091524D" w:rsidRPr="00494F66" w:rsidRDefault="00DF478E"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725DA8" w:rsidP="00DE1068">
            <w:pPr>
              <w:tabs>
                <w:tab w:val="left" w:pos="601"/>
              </w:tabs>
              <w:ind w:right="-57"/>
              <w:jc w:val="both"/>
              <w:rPr>
                <w:rFonts w:cs="Times New Roman"/>
                <w:color w:val="000000"/>
                <w:szCs w:val="24"/>
              </w:rPr>
            </w:pPr>
            <w:r w:rsidRPr="00AD651C">
              <w:rPr>
                <w:szCs w:val="24"/>
              </w:rPr>
              <w:t>Užtikrinti, kad, įgyvendinus projektą, bus padidintas ir kontrolės laikotarpiu išlaikytas darbo vietų skaičius</w:t>
            </w:r>
            <w:r w:rsidR="00DD4ED9">
              <w:rPr>
                <w:szCs w:val="24"/>
              </w:rPr>
              <w:t xml:space="preserve"> </w:t>
            </w:r>
            <w:r w:rsidR="00DD4ED9" w:rsidRPr="00494F66">
              <w:rPr>
                <w:rFonts w:cs="Times New Roman"/>
                <w:szCs w:val="24"/>
              </w:rPr>
              <w:t>(taikoma, jei buvo skirti balai už šį kriterijų)</w:t>
            </w:r>
          </w:p>
        </w:tc>
        <w:tc>
          <w:tcPr>
            <w:tcW w:w="3827" w:type="dxa"/>
          </w:tcPr>
          <w:p w:rsidR="004B1D2E" w:rsidRPr="007151B4" w:rsidRDefault="004B1D2E" w:rsidP="004B1D2E">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91524D" w:rsidRPr="00494F66" w:rsidRDefault="0091524D" w:rsidP="00DE1068">
            <w:pPr>
              <w:tabs>
                <w:tab w:val="left" w:pos="2302"/>
              </w:tabs>
              <w:suppressAutoHyphens/>
              <w:snapToGrid w:val="0"/>
              <w:jc w:val="both"/>
              <w:rPr>
                <w:rFonts w:cs="Times New Roman"/>
                <w:color w:val="000000"/>
                <w:szCs w:val="24"/>
              </w:rPr>
            </w:pPr>
          </w:p>
        </w:tc>
        <w:tc>
          <w:tcPr>
            <w:tcW w:w="2694" w:type="dxa"/>
          </w:tcPr>
          <w:p w:rsidR="0091524D" w:rsidRPr="00494F66" w:rsidRDefault="00E15C3B" w:rsidP="00DE1068">
            <w:pPr>
              <w:jc w:val="both"/>
              <w:rPr>
                <w:rFonts w:cs="Times New Roman"/>
                <w:color w:val="000000"/>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Default="00A90978" w:rsidP="00DE1068">
            <w:pPr>
              <w:tabs>
                <w:tab w:val="left" w:pos="601"/>
              </w:tabs>
              <w:ind w:right="-57"/>
              <w:jc w:val="both"/>
              <w:rPr>
                <w:szCs w:val="24"/>
              </w:rPr>
            </w:pPr>
            <w:r>
              <w:rPr>
                <w:szCs w:val="24"/>
              </w:rPr>
              <w:t>Išlaikyti ūkio subjekto grynąjį pelningumą visą projekto kontrolės laikotarpį</w:t>
            </w:r>
            <w:r w:rsidR="008106C7">
              <w:rPr>
                <w:szCs w:val="24"/>
              </w:rPr>
              <w:t xml:space="preserve"> </w:t>
            </w:r>
            <w:r w:rsidR="008106C7" w:rsidRPr="00AE5B7A">
              <w:rPr>
                <w:rFonts w:cs="Times New Roman"/>
                <w:szCs w:val="24"/>
              </w:rPr>
              <w:t>(taikoma, jei buvo skirti balai už šį kriterijų)</w:t>
            </w:r>
            <w:r>
              <w:rPr>
                <w:szCs w:val="24"/>
              </w:rPr>
              <w:t>:</w:t>
            </w:r>
          </w:p>
          <w:p w:rsidR="00A90978" w:rsidRPr="00CC6FEE" w:rsidRDefault="00A90978" w:rsidP="00F668A7">
            <w:pPr>
              <w:pStyle w:val="ListParagraph"/>
              <w:numPr>
                <w:ilvl w:val="0"/>
                <w:numId w:val="4"/>
              </w:numPr>
              <w:tabs>
                <w:tab w:val="left" w:pos="601"/>
              </w:tabs>
              <w:ind w:right="-57"/>
              <w:jc w:val="both"/>
              <w:rPr>
                <w:szCs w:val="24"/>
              </w:rPr>
            </w:pPr>
            <w:r w:rsidRPr="00CC6FEE">
              <w:rPr>
                <w:szCs w:val="24"/>
              </w:rPr>
              <w:t>nuo 3 iki 5 proc. (imtinai);</w:t>
            </w:r>
          </w:p>
          <w:p w:rsidR="00A90978" w:rsidRPr="00F12F2F" w:rsidRDefault="00A90978" w:rsidP="00F668A7">
            <w:pPr>
              <w:pStyle w:val="ListParagraph"/>
              <w:numPr>
                <w:ilvl w:val="0"/>
                <w:numId w:val="4"/>
              </w:numPr>
              <w:tabs>
                <w:tab w:val="left" w:pos="601"/>
              </w:tabs>
              <w:ind w:right="-57"/>
              <w:jc w:val="both"/>
              <w:rPr>
                <w:szCs w:val="24"/>
              </w:rPr>
            </w:pPr>
            <w:r w:rsidRPr="00F12F2F">
              <w:rPr>
                <w:szCs w:val="24"/>
              </w:rPr>
              <w:t>didesnį nei 5 proc.</w:t>
            </w:r>
          </w:p>
          <w:p w:rsidR="00DD4ED9" w:rsidRPr="00F668A7" w:rsidRDefault="00DD4ED9" w:rsidP="00F668A7">
            <w:pPr>
              <w:pStyle w:val="ListParagraph"/>
              <w:tabs>
                <w:tab w:val="left" w:pos="601"/>
              </w:tabs>
              <w:ind w:right="-57"/>
              <w:jc w:val="both"/>
              <w:rPr>
                <w:rFonts w:cs="Times New Roman"/>
                <w:color w:val="000000" w:themeColor="text1"/>
                <w:spacing w:val="4"/>
                <w:szCs w:val="24"/>
              </w:rPr>
            </w:pPr>
          </w:p>
        </w:tc>
        <w:tc>
          <w:tcPr>
            <w:tcW w:w="3827" w:type="dxa"/>
          </w:tcPr>
          <w:p w:rsidR="0091524D" w:rsidRPr="004B1D2E" w:rsidRDefault="004B1D2E" w:rsidP="004B1D2E">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DD4ED9" w:rsidRPr="00494F66" w:rsidRDefault="00A90978">
            <w:pPr>
              <w:tabs>
                <w:tab w:val="left" w:pos="601"/>
              </w:tabs>
              <w:ind w:right="-57"/>
              <w:jc w:val="both"/>
              <w:rPr>
                <w:rFonts w:cs="Times New Roman"/>
                <w:szCs w:val="24"/>
              </w:rPr>
            </w:pPr>
            <w:r w:rsidRPr="002B0266">
              <w:rPr>
                <w:szCs w:val="24"/>
              </w:rPr>
              <w:t xml:space="preserve">Užtikrinti, kad bus </w:t>
            </w:r>
            <w:r w:rsidRPr="00DA6811">
              <w:rPr>
                <w:color w:val="000000"/>
              </w:rPr>
              <w:t>perdir</w:t>
            </w:r>
            <w:bookmarkStart w:id="0" w:name="_GoBack"/>
            <w:bookmarkEnd w:id="0"/>
            <w:r w:rsidRPr="00DA6811">
              <w:rPr>
                <w:color w:val="000000"/>
              </w:rPr>
              <w:t>bam</w:t>
            </w:r>
            <w:r w:rsidR="008106C7">
              <w:rPr>
                <w:color w:val="000000"/>
              </w:rPr>
              <w:t>os</w:t>
            </w:r>
            <w:r w:rsidRPr="0049526F">
              <w:rPr>
                <w:color w:val="000000"/>
              </w:rPr>
              <w:t xml:space="preserve"> žuv</w:t>
            </w:r>
            <w:r w:rsidR="008106C7">
              <w:rPr>
                <w:color w:val="000000"/>
              </w:rPr>
              <w:t>y</w:t>
            </w:r>
            <w:r w:rsidRPr="0049526F">
              <w:rPr>
                <w:color w:val="000000"/>
              </w:rPr>
              <w:t xml:space="preserve">s, kurios negali būti skirtos žmonėms vartoti (priegauda) </w:t>
            </w:r>
            <w:r w:rsidRPr="00DA6811">
              <w:rPr>
                <w:color w:val="000000"/>
              </w:rPr>
              <w:t xml:space="preserve">(verslinių žuvų, kurios negali būti skirtos žmonėms vartoti </w:t>
            </w:r>
            <w:r w:rsidRPr="00DA6811">
              <w:rPr>
                <w:color w:val="000000"/>
              </w:rPr>
              <w:lastRenderedPageBreak/>
              <w:t>(priegaudos), perdirbimas turi sudaryti ne mažiau kaip 2 proc. visos įmonės perdirbamos, apdorojamos žaliavos kiekio visą projekto kontrolės laikotarpį</w:t>
            </w:r>
            <w:r w:rsidR="008106C7">
              <w:rPr>
                <w:color w:val="000000"/>
              </w:rPr>
              <w:t xml:space="preserve">; </w:t>
            </w:r>
            <w:r w:rsidR="00DD4ED9" w:rsidRPr="00494F66">
              <w:rPr>
                <w:rFonts w:cs="Times New Roman"/>
                <w:szCs w:val="24"/>
              </w:rPr>
              <w:t>taikoma, jei buvo skirti balai už šį kriterijų)</w:t>
            </w:r>
            <w:r w:rsidR="008106C7">
              <w:rPr>
                <w:rFonts w:cs="Times New Roman"/>
                <w:szCs w:val="24"/>
              </w:rPr>
              <w:t>.</w:t>
            </w:r>
          </w:p>
        </w:tc>
        <w:tc>
          <w:tcPr>
            <w:tcW w:w="3827" w:type="dxa"/>
          </w:tcPr>
          <w:p w:rsidR="004B1D2E" w:rsidRPr="007151B4" w:rsidRDefault="004B1D2E" w:rsidP="004B1D2E">
            <w:pPr>
              <w:pStyle w:val="Text3"/>
              <w:snapToGrid w:val="0"/>
              <w:spacing w:after="0"/>
              <w:ind w:left="0"/>
              <w:jc w:val="left"/>
              <w:rPr>
                <w:szCs w:val="24"/>
                <w:lang w:val="lt-LT"/>
              </w:rPr>
            </w:pPr>
            <w:r w:rsidRPr="007151B4">
              <w:rPr>
                <w:szCs w:val="24"/>
                <w:lang w:val="lt-LT"/>
              </w:rPr>
              <w:lastRenderedPageBreak/>
              <w:t xml:space="preserve">Paramos sumažinimas </w:t>
            </w:r>
            <w:r>
              <w:rPr>
                <w:szCs w:val="24"/>
                <w:lang w:val="lt-LT"/>
              </w:rPr>
              <w:t xml:space="preserve">/ susigrąžinimas </w:t>
            </w:r>
            <w:r w:rsidRPr="007151B4">
              <w:rPr>
                <w:szCs w:val="24"/>
                <w:lang w:val="lt-LT"/>
              </w:rPr>
              <w:t xml:space="preserve">0,5–100 proc. nuo </w:t>
            </w:r>
            <w:r w:rsidRPr="007151B4">
              <w:rPr>
                <w:szCs w:val="24"/>
                <w:lang w:val="lt-LT"/>
              </w:rPr>
              <w:lastRenderedPageBreak/>
              <w:t>išmokėtos paramos sumos, bet ne mažiau nei 100,01 Eur</w:t>
            </w:r>
            <w:r>
              <w:rPr>
                <w:szCs w:val="24"/>
                <w:lang w:val="lt-LT"/>
              </w:rPr>
              <w:t>.</w:t>
            </w:r>
          </w:p>
          <w:p w:rsidR="0091524D" w:rsidRPr="00494F66" w:rsidRDefault="0091524D" w:rsidP="00DE1068">
            <w:pPr>
              <w:tabs>
                <w:tab w:val="left" w:pos="2302"/>
              </w:tabs>
              <w:suppressAutoHyphens/>
              <w:snapToGrid w:val="0"/>
              <w:jc w:val="both"/>
              <w:rPr>
                <w:rFonts w:cs="Times New Roman"/>
                <w:color w:val="000000"/>
                <w:szCs w:val="24"/>
              </w:rPr>
            </w:pPr>
          </w:p>
        </w:tc>
        <w:tc>
          <w:tcPr>
            <w:tcW w:w="2694" w:type="dxa"/>
          </w:tcPr>
          <w:p w:rsidR="0091524D" w:rsidRPr="00494F66" w:rsidRDefault="00E15C3B" w:rsidP="00DE1068">
            <w:pPr>
              <w:jc w:val="both"/>
              <w:rPr>
                <w:rFonts w:cs="Times New Roman"/>
                <w:color w:val="000000" w:themeColor="text1"/>
                <w:szCs w:val="24"/>
              </w:rPr>
            </w:pPr>
            <w:r w:rsidRPr="00E15C3B">
              <w:rPr>
                <w:rFonts w:cs="Times New Roman"/>
                <w:color w:val="000000" w:themeColor="text1"/>
                <w:szCs w:val="24"/>
              </w:rPr>
              <w:lastRenderedPageBreak/>
              <w:t xml:space="preserve">Sankcijų už teisės aktų nuostatų pažeidimus </w:t>
            </w:r>
            <w:r w:rsidRPr="00E15C3B">
              <w:rPr>
                <w:rFonts w:cs="Times New Roman"/>
                <w:color w:val="000000" w:themeColor="text1"/>
                <w:szCs w:val="24"/>
              </w:rPr>
              <w:lastRenderedPageBreak/>
              <w:t>įgyvendinant Lietuvos žuvininkystės sektoriaus 2014–2020 metų veiksmų programos priemones taikymo metodika (2015-08-13, Nr. 3D-639)</w:t>
            </w:r>
          </w:p>
        </w:tc>
      </w:tr>
      <w:tr w:rsidR="0091524D" w:rsidRPr="00337AE5" w:rsidTr="00E15C3B">
        <w:tc>
          <w:tcPr>
            <w:tcW w:w="8075" w:type="dxa"/>
          </w:tcPr>
          <w:p w:rsidR="00DD4ED9" w:rsidRPr="00494F66" w:rsidRDefault="00A90978">
            <w:pPr>
              <w:tabs>
                <w:tab w:val="left" w:pos="601"/>
              </w:tabs>
              <w:ind w:right="-57"/>
              <w:jc w:val="both"/>
              <w:rPr>
                <w:rFonts w:cs="Times New Roman"/>
                <w:szCs w:val="24"/>
              </w:rPr>
            </w:pPr>
            <w:r>
              <w:rPr>
                <w:szCs w:val="24"/>
              </w:rPr>
              <w:lastRenderedPageBreak/>
              <w:t xml:space="preserve">Užtikrinti, kad bus </w:t>
            </w:r>
            <w:r>
              <w:rPr>
                <w:color w:val="000000"/>
              </w:rPr>
              <w:t>perdirbama ekologinė ir (arba) tausi produkcija (ekologinės ir (arba) tausios produkcijos perdirbimas turi sudaryti ne mažiau kaip 5 proc. visos įmonės perdirbamos, apdorojamos žaliavos kiekio visą projekto kontrolės laikotarpį</w:t>
            </w:r>
            <w:r w:rsidR="00B93E83">
              <w:rPr>
                <w:color w:val="000000"/>
              </w:rPr>
              <w:t xml:space="preserve">; </w:t>
            </w:r>
            <w:r w:rsidR="00DD4ED9" w:rsidRPr="00494F66">
              <w:rPr>
                <w:rFonts w:cs="Times New Roman"/>
                <w:szCs w:val="24"/>
              </w:rPr>
              <w:t>taikoma, jei buvo skirti balai už šį kriterijų)</w:t>
            </w:r>
            <w:r w:rsidR="00B93E83">
              <w:rPr>
                <w:rFonts w:cs="Times New Roman"/>
                <w:szCs w:val="24"/>
              </w:rPr>
              <w:t>.</w:t>
            </w:r>
          </w:p>
        </w:tc>
        <w:tc>
          <w:tcPr>
            <w:tcW w:w="3827" w:type="dxa"/>
          </w:tcPr>
          <w:p w:rsidR="004B1D2E" w:rsidRPr="007151B4" w:rsidRDefault="004B1D2E" w:rsidP="004B1D2E">
            <w:pPr>
              <w:pStyle w:val="Text3"/>
              <w:snapToGrid w:val="0"/>
              <w:spacing w:after="0"/>
              <w:ind w:left="0"/>
              <w:jc w:val="left"/>
              <w:rPr>
                <w:szCs w:val="24"/>
                <w:lang w:val="lt-LT"/>
              </w:rPr>
            </w:pPr>
            <w:r w:rsidRPr="007151B4">
              <w:rPr>
                <w:szCs w:val="24"/>
                <w:lang w:val="lt-LT"/>
              </w:rPr>
              <w:t xml:space="preserve">Paramos sumažinimas </w:t>
            </w:r>
            <w:r>
              <w:rPr>
                <w:szCs w:val="24"/>
                <w:lang w:val="lt-LT"/>
              </w:rPr>
              <w:t xml:space="preserve">/ susigrąžinimas </w:t>
            </w:r>
            <w:r w:rsidRPr="007151B4">
              <w:rPr>
                <w:szCs w:val="24"/>
                <w:lang w:val="lt-LT"/>
              </w:rPr>
              <w:t>0,5–100 proc. nuo išmokėtos paramos sumos, bet ne mažiau nei 100,01 Eur</w:t>
            </w:r>
            <w:r>
              <w:rPr>
                <w:szCs w:val="24"/>
                <w:lang w:val="lt-LT"/>
              </w:rPr>
              <w:t>.</w:t>
            </w:r>
          </w:p>
          <w:p w:rsidR="0091524D" w:rsidRPr="00494F66" w:rsidRDefault="0091524D" w:rsidP="00DE1068">
            <w:pPr>
              <w:tabs>
                <w:tab w:val="left" w:pos="2302"/>
              </w:tabs>
              <w:suppressAutoHyphens/>
              <w:snapToGrid w:val="0"/>
              <w:jc w:val="both"/>
              <w:rPr>
                <w:rFonts w:cs="Times New Roman"/>
                <w:color w:val="000000"/>
                <w:szCs w:val="24"/>
              </w:rPr>
            </w:pPr>
          </w:p>
        </w:tc>
        <w:tc>
          <w:tcPr>
            <w:tcW w:w="2694" w:type="dxa"/>
          </w:tcPr>
          <w:p w:rsidR="0091524D" w:rsidRPr="00494F66" w:rsidRDefault="00E15C3B" w:rsidP="00DE1068">
            <w:pPr>
              <w:jc w:val="both"/>
              <w:rPr>
                <w:rFonts w:cs="Times New Roman"/>
                <w:color w:val="000000" w:themeColor="text1"/>
                <w:szCs w:val="24"/>
              </w:rPr>
            </w:pPr>
            <w:r w:rsidRPr="00E15C3B">
              <w:rPr>
                <w:rFonts w:cs="Times New Roman"/>
                <w:szCs w:val="24"/>
              </w:rPr>
              <w:t>Sankcijų už teisės aktų nuostatų pažeidimus įgyvendinant Lietuvos žuvininkystės sektoriaus 2014–2020 metų veiksmų programos priemones taikymo metodika (2015-08-13, Nr. 3D-639)</w:t>
            </w:r>
          </w:p>
        </w:tc>
      </w:tr>
      <w:tr w:rsidR="0091524D" w:rsidRPr="00337AE5" w:rsidTr="00E15C3B">
        <w:tc>
          <w:tcPr>
            <w:tcW w:w="8075" w:type="dxa"/>
          </w:tcPr>
          <w:p w:rsidR="0091524D" w:rsidRPr="00494F66" w:rsidRDefault="00A90978">
            <w:pPr>
              <w:tabs>
                <w:tab w:val="left" w:pos="601"/>
              </w:tabs>
              <w:ind w:right="-57"/>
              <w:jc w:val="both"/>
              <w:rPr>
                <w:rFonts w:eastAsia="Times New Roman" w:cs="Times New Roman"/>
                <w:szCs w:val="24"/>
              </w:rPr>
            </w:pPr>
            <w:r w:rsidRPr="00AD651C">
              <w:rPr>
                <w:szCs w:val="24"/>
              </w:rPr>
              <w:t>Laiku ir tinkamai pateikti Agentūrai visas reikiamas projekto įgyvendinimo ataskaitas. Pateikus galutinį mokėjimo prašymą – galutinę projekto įgyvendinimo ataskaitą, baigus įgyvendinti projektą, 5 (penkerius) metus po galutinio lėšų išmokėjimo dienos per 4 (keturis) mėnesius kiekvieniems kalendoriniams metams pasibaigus – užbaigto projekto metinę ataskaitą</w:t>
            </w:r>
            <w:r w:rsidR="00B93E83">
              <w:rPr>
                <w:szCs w:val="24"/>
              </w:rPr>
              <w:t>.</w:t>
            </w:r>
          </w:p>
        </w:tc>
        <w:tc>
          <w:tcPr>
            <w:tcW w:w="3827" w:type="dxa"/>
          </w:tcPr>
          <w:p w:rsidR="0091524D" w:rsidRPr="00494F66" w:rsidRDefault="004B1D2E" w:rsidP="00DE1068">
            <w:pPr>
              <w:tabs>
                <w:tab w:val="left" w:pos="34"/>
              </w:tabs>
              <w:suppressAutoHyphens/>
              <w:snapToGrid w:val="0"/>
              <w:jc w:val="both"/>
              <w:rPr>
                <w:rFonts w:cs="Times New Roman"/>
                <w:szCs w:val="24"/>
                <w:lang w:eastAsia="ar-SA"/>
              </w:rPr>
            </w:pPr>
            <w:r w:rsidRPr="007151B4">
              <w:rPr>
                <w:szCs w:val="24"/>
              </w:rPr>
              <w:t xml:space="preserve">Paramos </w:t>
            </w:r>
            <w:r>
              <w:rPr>
                <w:szCs w:val="24"/>
              </w:rPr>
              <w:t xml:space="preserve">sumažinimas </w:t>
            </w:r>
            <w:r>
              <w:rPr>
                <w:bCs/>
                <w:szCs w:val="24"/>
              </w:rPr>
              <w:t>ir (arba)</w:t>
            </w:r>
            <w:r>
              <w:rPr>
                <w:szCs w:val="24"/>
              </w:rPr>
              <w:t xml:space="preserve"> </w:t>
            </w:r>
            <w:r w:rsidRPr="007151B4">
              <w:rPr>
                <w:szCs w:val="24"/>
              </w:rPr>
              <w:t xml:space="preserve">susigrąžinimas </w:t>
            </w:r>
            <w:r>
              <w:rPr>
                <w:szCs w:val="24"/>
              </w:rPr>
              <w:t>(projekto ar kontrolės laikotarpiu</w:t>
            </w:r>
            <w:r w:rsidRPr="007151B4">
              <w:rPr>
                <w:szCs w:val="24"/>
              </w:rPr>
              <w:t>) 0,5</w:t>
            </w:r>
            <w:r>
              <w:rPr>
                <w:szCs w:val="24"/>
              </w:rPr>
              <w:t>–100</w:t>
            </w:r>
            <w:r w:rsidRPr="007151B4">
              <w:rPr>
                <w:szCs w:val="24"/>
              </w:rPr>
              <w:t xml:space="preserve"> proc. nuo išmokėtos paramos sumos, bet ne mažiau nei 100,01 Eur</w:t>
            </w:r>
            <w:r>
              <w:rPr>
                <w:szCs w:val="24"/>
              </w:rPr>
              <w:t>.</w:t>
            </w:r>
          </w:p>
        </w:tc>
        <w:tc>
          <w:tcPr>
            <w:tcW w:w="2694" w:type="dxa"/>
          </w:tcPr>
          <w:p w:rsidR="0091524D" w:rsidRPr="00494F66" w:rsidRDefault="00E15C3B" w:rsidP="00DE1068">
            <w:pPr>
              <w:jc w:val="both"/>
              <w:rPr>
                <w:rFonts w:cs="Times New Roman"/>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r w:rsidR="00DD4ED9" w:rsidRPr="00337AE5" w:rsidTr="00E15C3B">
        <w:tc>
          <w:tcPr>
            <w:tcW w:w="8075" w:type="dxa"/>
          </w:tcPr>
          <w:p w:rsidR="00DD4ED9" w:rsidRPr="00AD651C" w:rsidRDefault="00DD4ED9" w:rsidP="00DD4ED9">
            <w:pPr>
              <w:tabs>
                <w:tab w:val="left" w:pos="601"/>
              </w:tabs>
              <w:ind w:right="-57"/>
              <w:jc w:val="both"/>
              <w:rPr>
                <w:szCs w:val="24"/>
              </w:rPr>
            </w:pPr>
            <w:r w:rsidRPr="00494F66">
              <w:rPr>
                <w:rFonts w:eastAsia="Times New Roman" w:cs="Times New Roman"/>
                <w:szCs w:val="24"/>
              </w:rPr>
              <w:t>Įvykdyti paramos sutartyje numatytus papildomus įsipareigojimus (</w:t>
            </w:r>
            <w:r w:rsidRPr="00494F66">
              <w:rPr>
                <w:rFonts w:cs="Times New Roman"/>
                <w:szCs w:val="24"/>
              </w:rPr>
              <w:t>taikoma, jei papildomi įsipareigojimai buvo įtraukti į sutartį)</w:t>
            </w:r>
            <w:r w:rsidR="00B93E83">
              <w:rPr>
                <w:rFonts w:cs="Times New Roman"/>
                <w:szCs w:val="24"/>
              </w:rPr>
              <w:t>.</w:t>
            </w:r>
          </w:p>
        </w:tc>
        <w:tc>
          <w:tcPr>
            <w:tcW w:w="3827" w:type="dxa"/>
          </w:tcPr>
          <w:p w:rsidR="00DD4ED9" w:rsidRPr="007151B4" w:rsidRDefault="00DD4ED9" w:rsidP="00DD4ED9">
            <w:pPr>
              <w:tabs>
                <w:tab w:val="left" w:pos="34"/>
              </w:tabs>
              <w:suppressAutoHyphens/>
              <w:snapToGrid w:val="0"/>
              <w:jc w:val="both"/>
              <w:rPr>
                <w:szCs w:val="24"/>
              </w:rPr>
            </w:pPr>
            <w:r w:rsidRPr="00494F66">
              <w:rPr>
                <w:rFonts w:cs="Times New Roman"/>
                <w:color w:val="000000"/>
                <w:szCs w:val="24"/>
              </w:rPr>
              <w:t>Sankcijos dydis priklauso nuo nustatyto pažeidimo pobūdžio, masto bei sunkumo</w:t>
            </w:r>
            <w:r w:rsidR="00A31E08">
              <w:rPr>
                <w:rFonts w:cs="Times New Roman"/>
                <w:color w:val="000000"/>
                <w:szCs w:val="24"/>
              </w:rPr>
              <w:t>.</w:t>
            </w:r>
          </w:p>
        </w:tc>
        <w:tc>
          <w:tcPr>
            <w:tcW w:w="2694" w:type="dxa"/>
          </w:tcPr>
          <w:p w:rsidR="00DD4ED9" w:rsidRPr="00E15C3B" w:rsidRDefault="00DD4ED9" w:rsidP="00DD4ED9">
            <w:pPr>
              <w:jc w:val="both"/>
              <w:rPr>
                <w:rFonts w:cs="Times New Roman"/>
                <w:color w:val="000000" w:themeColor="text1"/>
                <w:szCs w:val="24"/>
              </w:rPr>
            </w:pPr>
            <w:r w:rsidRPr="00E15C3B">
              <w:rPr>
                <w:rFonts w:cs="Times New Roman"/>
                <w:color w:val="000000" w:themeColor="text1"/>
                <w:szCs w:val="24"/>
              </w:rPr>
              <w:t>Sankcijų už teisės aktų nuostatų pažeidimus įgyvendinant Lietuvos žuvininkystės sektoriaus 2014–2020 metų veiksmų programos priemones taikymo metodika (2015-08-13, Nr. 3D-639)</w:t>
            </w:r>
          </w:p>
        </w:tc>
      </w:tr>
    </w:tbl>
    <w:p w:rsidR="0091524D" w:rsidRDefault="0091524D" w:rsidP="00753B6A">
      <w:pPr>
        <w:spacing w:after="0" w:line="240" w:lineRule="auto"/>
        <w:rPr>
          <w:rFonts w:cs="Times New Roman"/>
          <w:color w:val="000000" w:themeColor="text1"/>
          <w:szCs w:val="24"/>
        </w:rPr>
      </w:pPr>
    </w:p>
    <w:p w:rsidR="0091524D" w:rsidRPr="004B1D2E" w:rsidRDefault="00903D0A" w:rsidP="00DD0FCF">
      <w:pPr>
        <w:tabs>
          <w:tab w:val="left" w:pos="1134"/>
        </w:tabs>
        <w:ind w:firstLine="840"/>
        <w:jc w:val="both"/>
        <w:rPr>
          <w:rFonts w:cs="Times New Roman"/>
          <w:i/>
          <w:color w:val="000000" w:themeColor="text1"/>
          <w:szCs w:val="24"/>
        </w:rPr>
      </w:pPr>
      <w:r w:rsidRPr="004B1D2E">
        <w:rPr>
          <w:b/>
          <w:i/>
        </w:rPr>
        <w:t xml:space="preserve">Atkreipiame Jūsų dėmesį, kad aukščiau yra išvardyti patys svarbiausi, bet ne visi Jums keliami reikalavimai ir įsipareigojimai, kurie yra nurodyti </w:t>
      </w:r>
      <w:r w:rsidR="004B1D2E" w:rsidRPr="004B1D2E">
        <w:rPr>
          <w:b/>
          <w:i/>
          <w:color w:val="000000"/>
        </w:rPr>
        <w:t>Lietuvos žuvininkystės sektoriaus 2014–2020 metų veiksmų programos penktojo Sąjungos prioriteto „Prekybos ir perdirbimo skatinimas“</w:t>
      </w:r>
      <w:r w:rsidR="004B1D2E" w:rsidRPr="004B1D2E">
        <w:rPr>
          <w:rStyle w:val="apple-converted-space"/>
          <w:b/>
          <w:i/>
          <w:color w:val="000000"/>
        </w:rPr>
        <w:t> </w:t>
      </w:r>
      <w:r w:rsidR="004B1D2E" w:rsidRPr="004B1D2E">
        <w:rPr>
          <w:b/>
          <w:i/>
          <w:color w:val="000000"/>
          <w:lang w:val="en-GB"/>
        </w:rPr>
        <w:t>priemonės</w:t>
      </w:r>
      <w:r w:rsidR="004B1D2E" w:rsidRPr="004B1D2E">
        <w:rPr>
          <w:rStyle w:val="apple-converted-space"/>
          <w:b/>
          <w:bCs/>
          <w:i/>
          <w:color w:val="000000"/>
          <w:lang w:val="en-GB"/>
        </w:rPr>
        <w:t> </w:t>
      </w:r>
      <w:r w:rsidR="004B1D2E" w:rsidRPr="004B1D2E">
        <w:rPr>
          <w:b/>
          <w:i/>
          <w:color w:val="000000"/>
          <w:lang w:val="en-GB"/>
        </w:rPr>
        <w:t>„Žvejybos ir akvakultūros produktų perdirbimas“</w:t>
      </w:r>
      <w:r w:rsidR="004B1D2E" w:rsidRPr="004B1D2E">
        <w:rPr>
          <w:rFonts w:cs="Times New Roman"/>
          <w:b/>
          <w:i/>
          <w:szCs w:val="24"/>
        </w:rPr>
        <w:t xml:space="preserve"> įgyvendinimo taisyklėse, patvirtintose Lietuvos Respublikos žemės ūkio </w:t>
      </w:r>
      <w:r w:rsidR="004B1D2E" w:rsidRPr="004B1D2E">
        <w:rPr>
          <w:rFonts w:cs="Times New Roman"/>
          <w:b/>
          <w:i/>
          <w:szCs w:val="24"/>
        </w:rPr>
        <w:lastRenderedPageBreak/>
        <w:t xml:space="preserve">ministro </w:t>
      </w:r>
      <w:r w:rsidR="004B1D2E" w:rsidRPr="004B1D2E">
        <w:rPr>
          <w:b/>
          <w:i/>
          <w:color w:val="000000"/>
        </w:rPr>
        <w:t>2015 m. lapkričio 30 d. įsakymu Nr. 3D-884 „Dėl Lietuvos žuvininkystės sektoriaus 2014–2020 metų veiksmų programos penktojo Sąjungos prioriteto „Prekybos ir perdirbimo skatinimas“</w:t>
      </w:r>
      <w:r w:rsidR="004B1D2E" w:rsidRPr="004B1D2E">
        <w:rPr>
          <w:rStyle w:val="apple-converted-space"/>
          <w:b/>
          <w:i/>
          <w:color w:val="000000"/>
        </w:rPr>
        <w:t> </w:t>
      </w:r>
      <w:r w:rsidR="004B1D2E" w:rsidRPr="004B1D2E">
        <w:rPr>
          <w:b/>
          <w:i/>
          <w:color w:val="000000"/>
          <w:lang w:val="en-GB"/>
        </w:rPr>
        <w:t>priemonės</w:t>
      </w:r>
      <w:r w:rsidR="004B1D2E" w:rsidRPr="004B1D2E">
        <w:rPr>
          <w:rStyle w:val="apple-converted-space"/>
          <w:b/>
          <w:bCs/>
          <w:i/>
          <w:color w:val="000000"/>
          <w:lang w:val="en-GB"/>
        </w:rPr>
        <w:t> </w:t>
      </w:r>
      <w:r w:rsidR="004B1D2E" w:rsidRPr="004B1D2E">
        <w:rPr>
          <w:b/>
          <w:i/>
          <w:color w:val="000000"/>
          <w:lang w:val="en-GB"/>
        </w:rPr>
        <w:t>„Žvejybos ir akvakultūros produktų perdirbimas“</w:t>
      </w:r>
      <w:r w:rsidR="004B1D2E" w:rsidRPr="004B1D2E">
        <w:rPr>
          <w:rStyle w:val="apple-converted-space"/>
          <w:b/>
          <w:i/>
          <w:color w:val="000000"/>
        </w:rPr>
        <w:t> </w:t>
      </w:r>
      <w:r w:rsidR="004B1D2E" w:rsidRPr="004B1D2E">
        <w:rPr>
          <w:b/>
          <w:i/>
          <w:color w:val="000000"/>
        </w:rPr>
        <w:t>įgyvendinimo taisyklių patvirtinimo“</w:t>
      </w:r>
      <w:r w:rsidR="008106C7">
        <w:rPr>
          <w:b/>
          <w:i/>
          <w:color w:val="000000"/>
        </w:rPr>
        <w:t>.</w:t>
      </w:r>
    </w:p>
    <w:sectPr w:rsidR="0091524D" w:rsidRPr="004B1D2E" w:rsidSect="00472F3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60A" w:rsidRDefault="00B5160A" w:rsidP="0091524D">
      <w:pPr>
        <w:spacing w:after="0" w:line="240" w:lineRule="auto"/>
      </w:pPr>
      <w:r>
        <w:separator/>
      </w:r>
    </w:p>
  </w:endnote>
  <w:endnote w:type="continuationSeparator" w:id="0">
    <w:p w:rsidR="00B5160A" w:rsidRDefault="00B5160A" w:rsidP="0091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60A" w:rsidRDefault="00B5160A" w:rsidP="0091524D">
      <w:pPr>
        <w:spacing w:after="0" w:line="240" w:lineRule="auto"/>
      </w:pPr>
      <w:r>
        <w:separator/>
      </w:r>
    </w:p>
  </w:footnote>
  <w:footnote w:type="continuationSeparator" w:id="0">
    <w:p w:rsidR="00B5160A" w:rsidRDefault="00B5160A" w:rsidP="0091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11F2A"/>
    <w:multiLevelType w:val="hybridMultilevel"/>
    <w:tmpl w:val="137E50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FD2778"/>
    <w:multiLevelType w:val="hybridMultilevel"/>
    <w:tmpl w:val="BF0A7870"/>
    <w:lvl w:ilvl="0" w:tplc="8A5ED34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CA1078E"/>
    <w:multiLevelType w:val="hybridMultilevel"/>
    <w:tmpl w:val="6CD80D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8407F6"/>
    <w:multiLevelType w:val="multilevel"/>
    <w:tmpl w:val="856AA9FE"/>
    <w:lvl w:ilvl="0">
      <w:start w:val="1"/>
      <w:numFmt w:val="decimal"/>
      <w:lvlText w:val="%1."/>
      <w:lvlJc w:val="left"/>
      <w:pPr>
        <w:ind w:left="1636" w:hanging="360"/>
      </w:pPr>
      <w:rPr>
        <w:b/>
      </w:rPr>
    </w:lvl>
    <w:lvl w:ilvl="1">
      <w:start w:val="1"/>
      <w:numFmt w:val="decimal"/>
      <w:isLgl/>
      <w:lvlText w:val="%2."/>
      <w:lvlJc w:val="left"/>
      <w:pPr>
        <w:ind w:left="1353" w:hanging="360"/>
      </w:pPr>
      <w:rPr>
        <w:rFonts w:ascii="Calibri" w:eastAsia="Calibri" w:hAnsi="Calibri" w:cs="Times New Roman"/>
        <w:b w:val="0"/>
      </w:rPr>
    </w:lvl>
    <w:lvl w:ilvl="2">
      <w:start w:val="1"/>
      <w:numFmt w:val="decimal"/>
      <w:isLgl/>
      <w:lvlText w:val="%1.%2.%3."/>
      <w:lvlJc w:val="left"/>
      <w:pPr>
        <w:ind w:left="2138"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4BA"/>
    <w:rsid w:val="0000628A"/>
    <w:rsid w:val="00015D91"/>
    <w:rsid w:val="00063E34"/>
    <w:rsid w:val="0006798A"/>
    <w:rsid w:val="0007763C"/>
    <w:rsid w:val="000D1EEE"/>
    <w:rsid w:val="00115154"/>
    <w:rsid w:val="001E544C"/>
    <w:rsid w:val="00252E21"/>
    <w:rsid w:val="00261DC5"/>
    <w:rsid w:val="00265270"/>
    <w:rsid w:val="00291C6F"/>
    <w:rsid w:val="002B2096"/>
    <w:rsid w:val="002F18E0"/>
    <w:rsid w:val="00337AE5"/>
    <w:rsid w:val="003E41E4"/>
    <w:rsid w:val="003F2327"/>
    <w:rsid w:val="004571E1"/>
    <w:rsid w:val="00471437"/>
    <w:rsid w:val="00472F3B"/>
    <w:rsid w:val="00494F66"/>
    <w:rsid w:val="004A3089"/>
    <w:rsid w:val="004B1D2E"/>
    <w:rsid w:val="004C7853"/>
    <w:rsid w:val="005A3E0E"/>
    <w:rsid w:val="00676D7F"/>
    <w:rsid w:val="006E150E"/>
    <w:rsid w:val="006F4C0F"/>
    <w:rsid w:val="00725DA8"/>
    <w:rsid w:val="00753B6A"/>
    <w:rsid w:val="00796F48"/>
    <w:rsid w:val="0080179E"/>
    <w:rsid w:val="008106C7"/>
    <w:rsid w:val="00813F29"/>
    <w:rsid w:val="00844B2D"/>
    <w:rsid w:val="008774AD"/>
    <w:rsid w:val="00880FD3"/>
    <w:rsid w:val="008B5A88"/>
    <w:rsid w:val="008E740D"/>
    <w:rsid w:val="00903D0A"/>
    <w:rsid w:val="0091524D"/>
    <w:rsid w:val="009D3A1D"/>
    <w:rsid w:val="00A16BC3"/>
    <w:rsid w:val="00A22955"/>
    <w:rsid w:val="00A31E08"/>
    <w:rsid w:val="00A72B33"/>
    <w:rsid w:val="00A7777B"/>
    <w:rsid w:val="00A87494"/>
    <w:rsid w:val="00A90978"/>
    <w:rsid w:val="00A97C8A"/>
    <w:rsid w:val="00AA5468"/>
    <w:rsid w:val="00AD0823"/>
    <w:rsid w:val="00B07D6A"/>
    <w:rsid w:val="00B105C1"/>
    <w:rsid w:val="00B406B4"/>
    <w:rsid w:val="00B5160A"/>
    <w:rsid w:val="00B93E83"/>
    <w:rsid w:val="00BD0CA3"/>
    <w:rsid w:val="00C6324F"/>
    <w:rsid w:val="00C63861"/>
    <w:rsid w:val="00C657D7"/>
    <w:rsid w:val="00CC6FEE"/>
    <w:rsid w:val="00CC7496"/>
    <w:rsid w:val="00CD23C6"/>
    <w:rsid w:val="00D07BF3"/>
    <w:rsid w:val="00D94CB8"/>
    <w:rsid w:val="00DD0FCF"/>
    <w:rsid w:val="00DD4ED9"/>
    <w:rsid w:val="00DF478E"/>
    <w:rsid w:val="00E15C3B"/>
    <w:rsid w:val="00E43470"/>
    <w:rsid w:val="00E463A1"/>
    <w:rsid w:val="00E80FE6"/>
    <w:rsid w:val="00EB4746"/>
    <w:rsid w:val="00EB4F53"/>
    <w:rsid w:val="00ED5754"/>
    <w:rsid w:val="00F12F2F"/>
    <w:rsid w:val="00F425EE"/>
    <w:rsid w:val="00F668A7"/>
    <w:rsid w:val="00F748A1"/>
    <w:rsid w:val="00F824BA"/>
    <w:rsid w:val="00FD7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6D041-FAFA-4070-A1FE-720D19F5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B6A"/>
    <w:pPr>
      <w:ind w:left="720"/>
      <w:contextualSpacing/>
    </w:pPr>
  </w:style>
  <w:style w:type="character" w:styleId="Hyperlink">
    <w:name w:val="Hyperlink"/>
    <w:basedOn w:val="DefaultParagraphFont"/>
    <w:uiPriority w:val="99"/>
    <w:unhideWhenUsed/>
    <w:rsid w:val="00EB4746"/>
    <w:rPr>
      <w:color w:val="0563C1" w:themeColor="hyperlink"/>
      <w:u w:val="single"/>
    </w:rPr>
  </w:style>
  <w:style w:type="table" w:styleId="TableGrid">
    <w:name w:val="Table Grid"/>
    <w:basedOn w:val="TableNormal"/>
    <w:uiPriority w:val="39"/>
    <w:rsid w:val="006E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FD3"/>
    <w:rPr>
      <w:sz w:val="16"/>
      <w:szCs w:val="16"/>
    </w:rPr>
  </w:style>
  <w:style w:type="paragraph" w:styleId="CommentText">
    <w:name w:val="annotation text"/>
    <w:basedOn w:val="Normal"/>
    <w:link w:val="CommentTextChar"/>
    <w:uiPriority w:val="99"/>
    <w:semiHidden/>
    <w:unhideWhenUsed/>
    <w:rsid w:val="00880FD3"/>
    <w:pPr>
      <w:spacing w:line="240" w:lineRule="auto"/>
    </w:pPr>
    <w:rPr>
      <w:sz w:val="20"/>
      <w:szCs w:val="20"/>
    </w:rPr>
  </w:style>
  <w:style w:type="character" w:customStyle="1" w:styleId="CommentTextChar">
    <w:name w:val="Comment Text Char"/>
    <w:basedOn w:val="DefaultParagraphFont"/>
    <w:link w:val="CommentText"/>
    <w:uiPriority w:val="99"/>
    <w:semiHidden/>
    <w:rsid w:val="00880FD3"/>
    <w:rPr>
      <w:sz w:val="20"/>
      <w:szCs w:val="20"/>
    </w:rPr>
  </w:style>
  <w:style w:type="paragraph" w:styleId="CommentSubject">
    <w:name w:val="annotation subject"/>
    <w:basedOn w:val="CommentText"/>
    <w:next w:val="CommentText"/>
    <w:link w:val="CommentSubjectChar"/>
    <w:uiPriority w:val="99"/>
    <w:semiHidden/>
    <w:unhideWhenUsed/>
    <w:rsid w:val="00880FD3"/>
    <w:rPr>
      <w:b/>
      <w:bCs/>
    </w:rPr>
  </w:style>
  <w:style w:type="character" w:customStyle="1" w:styleId="CommentSubjectChar">
    <w:name w:val="Comment Subject Char"/>
    <w:basedOn w:val="CommentTextChar"/>
    <w:link w:val="CommentSubject"/>
    <w:uiPriority w:val="99"/>
    <w:semiHidden/>
    <w:rsid w:val="00880FD3"/>
    <w:rPr>
      <w:b/>
      <w:bCs/>
      <w:sz w:val="20"/>
      <w:szCs w:val="20"/>
    </w:rPr>
  </w:style>
  <w:style w:type="paragraph" w:styleId="BalloonText">
    <w:name w:val="Balloon Text"/>
    <w:basedOn w:val="Normal"/>
    <w:link w:val="BalloonTextChar"/>
    <w:uiPriority w:val="99"/>
    <w:semiHidden/>
    <w:unhideWhenUsed/>
    <w:rsid w:val="00880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D3"/>
    <w:rPr>
      <w:rFonts w:ascii="Segoe UI" w:hAnsi="Segoe UI" w:cs="Segoe UI"/>
      <w:sz w:val="18"/>
      <w:szCs w:val="18"/>
    </w:rPr>
  </w:style>
  <w:style w:type="paragraph" w:customStyle="1" w:styleId="tin">
    <w:name w:val="tin"/>
    <w:basedOn w:val="Normal"/>
    <w:rsid w:val="00A7777B"/>
    <w:pPr>
      <w:spacing w:after="150" w:line="240" w:lineRule="auto"/>
    </w:pPr>
    <w:rPr>
      <w:rFonts w:eastAsia="Times New Roman" w:cs="Times New Roman"/>
      <w:szCs w:val="24"/>
      <w:lang w:eastAsia="lt-LT"/>
    </w:rPr>
  </w:style>
  <w:style w:type="paragraph" w:styleId="Header">
    <w:name w:val="header"/>
    <w:basedOn w:val="Normal"/>
    <w:link w:val="HeaderChar"/>
    <w:uiPriority w:val="99"/>
    <w:unhideWhenUsed/>
    <w:rsid w:val="00915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524D"/>
  </w:style>
  <w:style w:type="paragraph" w:styleId="Footer">
    <w:name w:val="footer"/>
    <w:basedOn w:val="Normal"/>
    <w:link w:val="FooterChar"/>
    <w:uiPriority w:val="99"/>
    <w:unhideWhenUsed/>
    <w:rsid w:val="00915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524D"/>
  </w:style>
  <w:style w:type="character" w:customStyle="1" w:styleId="apple-converted-space">
    <w:name w:val="apple-converted-space"/>
    <w:basedOn w:val="DefaultParagraphFont"/>
    <w:rsid w:val="008E740D"/>
  </w:style>
  <w:style w:type="paragraph" w:styleId="BodyText">
    <w:name w:val="Body Text"/>
    <w:basedOn w:val="Normal"/>
    <w:link w:val="BodyTextChar"/>
    <w:rsid w:val="00725DA8"/>
    <w:pPr>
      <w:spacing w:after="0" w:line="360" w:lineRule="auto"/>
      <w:jc w:val="both"/>
    </w:pPr>
    <w:rPr>
      <w:rFonts w:eastAsia="Times New Roman" w:cs="Times New Roman"/>
      <w:szCs w:val="20"/>
    </w:rPr>
  </w:style>
  <w:style w:type="character" w:customStyle="1" w:styleId="BodyTextChar">
    <w:name w:val="Body Text Char"/>
    <w:basedOn w:val="DefaultParagraphFont"/>
    <w:link w:val="BodyText"/>
    <w:rsid w:val="00725DA8"/>
    <w:rPr>
      <w:rFonts w:eastAsia="Times New Roman" w:cs="Times New Roman"/>
      <w:szCs w:val="20"/>
    </w:rPr>
  </w:style>
  <w:style w:type="paragraph" w:customStyle="1" w:styleId="Text3">
    <w:name w:val="Text 3"/>
    <w:basedOn w:val="Normal"/>
    <w:rsid w:val="00A90978"/>
    <w:pPr>
      <w:tabs>
        <w:tab w:val="left" w:pos="2302"/>
      </w:tabs>
      <w:suppressAutoHyphens/>
      <w:spacing w:after="240" w:line="240" w:lineRule="auto"/>
      <w:ind w:left="1202"/>
      <w:jc w:val="both"/>
    </w:pPr>
    <w:rPr>
      <w:rFonts w:eastAsia="Times New Roman" w:cs="Times New Roman"/>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29964">
      <w:bodyDiv w:val="1"/>
      <w:marLeft w:val="0"/>
      <w:marRight w:val="0"/>
      <w:marTop w:val="0"/>
      <w:marBottom w:val="0"/>
      <w:divBdr>
        <w:top w:val="none" w:sz="0" w:space="0" w:color="auto"/>
        <w:left w:val="none" w:sz="0" w:space="0" w:color="auto"/>
        <w:bottom w:val="none" w:sz="0" w:space="0" w:color="auto"/>
        <w:right w:val="none" w:sz="0" w:space="0" w:color="auto"/>
      </w:divBdr>
    </w:div>
    <w:div w:id="449058764">
      <w:bodyDiv w:val="1"/>
      <w:marLeft w:val="0"/>
      <w:marRight w:val="0"/>
      <w:marTop w:val="0"/>
      <w:marBottom w:val="0"/>
      <w:divBdr>
        <w:top w:val="none" w:sz="0" w:space="0" w:color="auto"/>
        <w:left w:val="none" w:sz="0" w:space="0" w:color="auto"/>
        <w:bottom w:val="none" w:sz="0" w:space="0" w:color="auto"/>
        <w:right w:val="none" w:sz="0" w:space="0" w:color="auto"/>
      </w:divBdr>
    </w:div>
    <w:div w:id="808745667">
      <w:bodyDiv w:val="1"/>
      <w:marLeft w:val="0"/>
      <w:marRight w:val="0"/>
      <w:marTop w:val="0"/>
      <w:marBottom w:val="0"/>
      <w:divBdr>
        <w:top w:val="none" w:sz="0" w:space="0" w:color="auto"/>
        <w:left w:val="none" w:sz="0" w:space="0" w:color="auto"/>
        <w:bottom w:val="none" w:sz="0" w:space="0" w:color="auto"/>
        <w:right w:val="none" w:sz="0" w:space="0" w:color="auto"/>
      </w:divBdr>
    </w:div>
    <w:div w:id="1016805252">
      <w:bodyDiv w:val="1"/>
      <w:marLeft w:val="0"/>
      <w:marRight w:val="0"/>
      <w:marTop w:val="0"/>
      <w:marBottom w:val="0"/>
      <w:divBdr>
        <w:top w:val="none" w:sz="0" w:space="0" w:color="auto"/>
        <w:left w:val="none" w:sz="0" w:space="0" w:color="auto"/>
        <w:bottom w:val="none" w:sz="0" w:space="0" w:color="auto"/>
        <w:right w:val="none" w:sz="0" w:space="0" w:color="auto"/>
      </w:divBdr>
    </w:div>
    <w:div w:id="1530876459">
      <w:bodyDiv w:val="1"/>
      <w:marLeft w:val="0"/>
      <w:marRight w:val="0"/>
      <w:marTop w:val="0"/>
      <w:marBottom w:val="0"/>
      <w:divBdr>
        <w:top w:val="none" w:sz="0" w:space="0" w:color="auto"/>
        <w:left w:val="none" w:sz="0" w:space="0" w:color="auto"/>
        <w:bottom w:val="none" w:sz="0" w:space="0" w:color="auto"/>
        <w:right w:val="none" w:sz="0" w:space="0" w:color="auto"/>
      </w:divBdr>
    </w:div>
    <w:div w:id="1539782009">
      <w:bodyDiv w:val="1"/>
      <w:marLeft w:val="0"/>
      <w:marRight w:val="0"/>
      <w:marTop w:val="0"/>
      <w:marBottom w:val="0"/>
      <w:divBdr>
        <w:top w:val="none" w:sz="0" w:space="0" w:color="auto"/>
        <w:left w:val="none" w:sz="0" w:space="0" w:color="auto"/>
        <w:bottom w:val="none" w:sz="0" w:space="0" w:color="auto"/>
        <w:right w:val="none" w:sz="0" w:space="0" w:color="auto"/>
      </w:divBdr>
      <w:divsChild>
        <w:div w:id="153448592">
          <w:marLeft w:val="0"/>
          <w:marRight w:val="0"/>
          <w:marTop w:val="0"/>
          <w:marBottom w:val="0"/>
          <w:divBdr>
            <w:top w:val="none" w:sz="0" w:space="0" w:color="auto"/>
            <w:left w:val="none" w:sz="0" w:space="0" w:color="auto"/>
            <w:bottom w:val="none" w:sz="0" w:space="0" w:color="auto"/>
            <w:right w:val="none" w:sz="0" w:space="0" w:color="auto"/>
          </w:divBdr>
          <w:divsChild>
            <w:div w:id="1080982764">
              <w:marLeft w:val="0"/>
              <w:marRight w:val="0"/>
              <w:marTop w:val="0"/>
              <w:marBottom w:val="0"/>
              <w:divBdr>
                <w:top w:val="none" w:sz="0" w:space="0" w:color="auto"/>
                <w:left w:val="none" w:sz="0" w:space="0" w:color="auto"/>
                <w:bottom w:val="none" w:sz="0" w:space="0" w:color="auto"/>
                <w:right w:val="none" w:sz="0" w:space="0" w:color="auto"/>
              </w:divBdr>
              <w:divsChild>
                <w:div w:id="229659589">
                  <w:marLeft w:val="0"/>
                  <w:marRight w:val="0"/>
                  <w:marTop w:val="0"/>
                  <w:marBottom w:val="0"/>
                  <w:divBdr>
                    <w:top w:val="none" w:sz="0" w:space="0" w:color="auto"/>
                    <w:left w:val="none" w:sz="0" w:space="0" w:color="auto"/>
                    <w:bottom w:val="none" w:sz="0" w:space="0" w:color="auto"/>
                    <w:right w:val="none" w:sz="0" w:space="0" w:color="auto"/>
                  </w:divBdr>
                  <w:divsChild>
                    <w:div w:id="1352994540">
                      <w:marLeft w:val="135"/>
                      <w:marRight w:val="0"/>
                      <w:marTop w:val="0"/>
                      <w:marBottom w:val="0"/>
                      <w:divBdr>
                        <w:top w:val="none" w:sz="0" w:space="0" w:color="auto"/>
                        <w:left w:val="none" w:sz="0" w:space="0" w:color="auto"/>
                        <w:bottom w:val="none" w:sz="0" w:space="0" w:color="auto"/>
                        <w:right w:val="none" w:sz="0" w:space="0" w:color="auto"/>
                      </w:divBdr>
                      <w:divsChild>
                        <w:div w:id="1334912798">
                          <w:marLeft w:val="0"/>
                          <w:marRight w:val="0"/>
                          <w:marTop w:val="0"/>
                          <w:marBottom w:val="0"/>
                          <w:divBdr>
                            <w:top w:val="none" w:sz="0" w:space="0" w:color="auto"/>
                            <w:left w:val="none" w:sz="0" w:space="0" w:color="auto"/>
                            <w:bottom w:val="none" w:sz="0" w:space="0" w:color="auto"/>
                            <w:right w:val="none" w:sz="0" w:space="0" w:color="auto"/>
                          </w:divBdr>
                          <w:divsChild>
                            <w:div w:id="1790974102">
                              <w:marLeft w:val="0"/>
                              <w:marRight w:val="0"/>
                              <w:marTop w:val="0"/>
                              <w:marBottom w:val="0"/>
                              <w:divBdr>
                                <w:top w:val="none" w:sz="0" w:space="0" w:color="auto"/>
                                <w:left w:val="none" w:sz="0" w:space="0" w:color="auto"/>
                                <w:bottom w:val="none" w:sz="0" w:space="0" w:color="auto"/>
                                <w:right w:val="none" w:sz="0" w:space="0" w:color="auto"/>
                              </w:divBdr>
                              <w:divsChild>
                                <w:div w:id="9323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712457">
      <w:bodyDiv w:val="1"/>
      <w:marLeft w:val="0"/>
      <w:marRight w:val="0"/>
      <w:marTop w:val="0"/>
      <w:marBottom w:val="0"/>
      <w:divBdr>
        <w:top w:val="none" w:sz="0" w:space="0" w:color="auto"/>
        <w:left w:val="none" w:sz="0" w:space="0" w:color="auto"/>
        <w:bottom w:val="none" w:sz="0" w:space="0" w:color="auto"/>
        <w:right w:val="none" w:sz="0" w:space="0" w:color="auto"/>
      </w:divBdr>
    </w:div>
    <w:div w:id="20716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D1EB585132B6A45959999CAAAA23DE6" ma:contentTypeVersion="1" ma:contentTypeDescription="Kurkite naują dokumentą." ma:contentTypeScope="" ma:versionID="478ad70fb595f42223ff54816edc7362">
  <xsd:schema xmlns:xsd="http://www.w3.org/2001/XMLSchema" xmlns:xs="http://www.w3.org/2001/XMLSchema" xmlns:p="http://schemas.microsoft.com/office/2006/metadata/properties" xmlns:ns2="ccfe1190-292d-4f4f-99f6-104aba487078" targetNamespace="http://schemas.microsoft.com/office/2006/metadata/properties" ma:root="true" ma:fieldsID="d2787f3b480dce07be6a951413112048" ns2:_="">
    <xsd:import namespace="ccfe1190-292d-4f4f-99f6-104aba48707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1190-292d-4f4f-99f6-104aba487078"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cfe1190-292d-4f4f-99f6-104aba487078">7QFQPPNPXAPM-9-785</_dlc_DocId>
    <_dlc_DocIdUrl xmlns="ccfe1190-292d-4f4f-99f6-104aba487078">
      <Url>http://zalias/sites/UM/_layouts/DocIdRedir.aspx?ID=7QFQPPNPXAPM-9-785</Url>
      <Description>7QFQPPNPXAPM-9-785</Description>
    </_dlc_DocIdUrl>
  </documentManagement>
</p:properties>
</file>

<file path=customXml/itemProps1.xml><?xml version="1.0" encoding="utf-8"?>
<ds:datastoreItem xmlns:ds="http://schemas.openxmlformats.org/officeDocument/2006/customXml" ds:itemID="{61EA1E56-3642-45F9-9CCF-B487A82AB48A}">
  <ds:schemaRefs>
    <ds:schemaRef ds:uri="http://schemas.microsoft.com/sharepoint/v3/contenttype/forms"/>
  </ds:schemaRefs>
</ds:datastoreItem>
</file>

<file path=customXml/itemProps2.xml><?xml version="1.0" encoding="utf-8"?>
<ds:datastoreItem xmlns:ds="http://schemas.openxmlformats.org/officeDocument/2006/customXml" ds:itemID="{A70C0BCD-6995-4106-9967-93DBD2FD2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fe1190-292d-4f4f-99f6-104aba487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6CB3EC-BDB8-4011-8008-7AD452861D0B}">
  <ds:schemaRefs>
    <ds:schemaRef ds:uri="http://schemas.microsoft.com/sharepoint/events"/>
  </ds:schemaRefs>
</ds:datastoreItem>
</file>

<file path=customXml/itemProps4.xml><?xml version="1.0" encoding="utf-8"?>
<ds:datastoreItem xmlns:ds="http://schemas.openxmlformats.org/officeDocument/2006/customXml" ds:itemID="{D3502FD1-4B98-4652-8C4F-C0FB591E964C}">
  <ds:schemaRefs>
    <ds:schemaRef ds:uri="http://schemas.microsoft.com/office/2006/metadata/properties"/>
    <ds:schemaRef ds:uri="http://schemas.microsoft.com/office/infopath/2007/PartnerControls"/>
    <ds:schemaRef ds:uri="ccfe1190-292d-4f4f-99f6-104aba48707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7477</Words>
  <Characters>4262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Valskytė</dc:creator>
  <cp:keywords/>
  <dc:description/>
  <cp:lastModifiedBy>Gintaras Venskus</cp:lastModifiedBy>
  <cp:revision>5</cp:revision>
  <dcterms:created xsi:type="dcterms:W3CDTF">2016-08-31T08:45:00Z</dcterms:created>
  <dcterms:modified xsi:type="dcterms:W3CDTF">2016-08-31T08:49:00Z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0x0101002D1EB585132B6A45959999CAAAA23DE6</vt:lpwstr>
  </property>
  <property fmtid="{D5CDD505-2E9C-101B-9397-08002B2CF9AE}" pid="3" name="_dlc_DocIdItemGuid">
    <vt:lpwstr>b0b35bef-c051-47cc-b6f6-446a7c38c0e6</vt:lpwstr>
  </property>
</Properties>
</file>