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D4676" w14:textId="77777777" w:rsidR="001F18D9" w:rsidRPr="0030687C" w:rsidRDefault="001F18D9" w:rsidP="001F18D9">
      <w:pPr>
        <w:spacing w:after="0" w:line="240" w:lineRule="auto"/>
        <w:jc w:val="center"/>
        <w:rPr>
          <w:rFonts w:cs="Times New Roman"/>
          <w:b/>
          <w:szCs w:val="24"/>
        </w:rPr>
      </w:pPr>
      <w:r w:rsidRPr="0030687C">
        <w:rPr>
          <w:rFonts w:cs="Times New Roman"/>
          <w:b/>
          <w:szCs w:val="24"/>
        </w:rPr>
        <w:t>ATMINTINĖ</w:t>
      </w:r>
    </w:p>
    <w:p w14:paraId="0014E135" w14:textId="77777777" w:rsidR="001F18D9" w:rsidRPr="0030687C" w:rsidRDefault="0030687C" w:rsidP="001F18D9">
      <w:pPr>
        <w:jc w:val="center"/>
        <w:rPr>
          <w:rFonts w:cs="Times New Roman"/>
          <w:b/>
          <w:szCs w:val="24"/>
        </w:rPr>
      </w:pPr>
      <w:r w:rsidRPr="0030687C">
        <w:rPr>
          <w:rFonts w:cs="Times New Roman"/>
          <w:b/>
          <w:szCs w:val="24"/>
        </w:rPr>
        <w:t>PAREIŠKĖJAMS</w:t>
      </w:r>
      <w:r w:rsidR="00E526CB">
        <w:rPr>
          <w:rFonts w:cs="Times New Roman"/>
          <w:b/>
          <w:szCs w:val="24"/>
        </w:rPr>
        <w:t xml:space="preserve"> TEIKUSIEMS PARAIŠKAS </w:t>
      </w:r>
      <w:r w:rsidRPr="000F53E8">
        <w:rPr>
          <w:rFonts w:cs="Times New Roman"/>
          <w:b/>
          <w:szCs w:val="24"/>
        </w:rPr>
        <w:t>PAGAL</w:t>
      </w:r>
      <w:r w:rsidR="00BD32D3">
        <w:rPr>
          <w:b/>
          <w:bCs/>
          <w:color w:val="000000"/>
        </w:rPr>
        <w:t xml:space="preserve"> </w:t>
      </w:r>
      <w:r w:rsidR="00BD32D3">
        <w:rPr>
          <w:b/>
          <w:bCs/>
          <w:lang w:val="en-GB"/>
        </w:rPr>
        <w:t xml:space="preserve">LIETUVOS ŽUVININKYSTĖS SEKTORIAUS 2014–2020 METŲ VEIKSMŲ PROGRAMOS </w:t>
      </w:r>
      <w:r w:rsidR="00BD32D3">
        <w:rPr>
          <w:b/>
          <w:bCs/>
          <w:color w:val="000000"/>
          <w:lang w:val="en-GB"/>
        </w:rPr>
        <w:t xml:space="preserve">PIRMOJO SĄJUNGOS PRIORITETO </w:t>
      </w:r>
      <w:r w:rsidR="00BD32D3">
        <w:rPr>
          <w:b/>
          <w:bCs/>
          <w:color w:val="000000"/>
        </w:rPr>
        <w:t>„APLINKOSAUGOS POŽIŪRIU TVARIOS, EFEKTYVIAI IŠTEKLIUS NAUDOJANČIOS, INOVACINĖS, KONKURENCINGOS IR ŽINIOMIS GRINDŽIAMOS ŽVEJYBOS SKATINIMAS</w:t>
      </w:r>
      <w:r w:rsidR="00BD32D3">
        <w:rPr>
          <w:b/>
          <w:bCs/>
          <w:color w:val="000000"/>
          <w:lang w:val="en-GB"/>
        </w:rPr>
        <w:t xml:space="preserve">“ PRIEMONĖS „JŪRŲ BIOLOGINĖS ĮVAIROVĖS IŠSAUGOJIMAS IR ATKŪRIMAS. LAIMIKIUI ŽINDUOLIŲ IR PAUKŠČIŲ PADARYTOS ŽALOS KOMPENSAVIMO </w:t>
      </w:r>
      <w:proofErr w:type="gramStart"/>
      <w:r w:rsidR="00BD32D3">
        <w:rPr>
          <w:b/>
          <w:bCs/>
          <w:color w:val="000000"/>
          <w:lang w:val="en-GB"/>
        </w:rPr>
        <w:t>SISTEMOS“</w:t>
      </w:r>
      <w:r w:rsidR="00B260E5">
        <w:rPr>
          <w:rFonts w:cs="Times New Roman"/>
          <w:b/>
          <w:szCs w:val="24"/>
        </w:rPr>
        <w:t xml:space="preserve"> </w:t>
      </w:r>
      <w:r w:rsidRPr="0030687C">
        <w:rPr>
          <w:rFonts w:cs="Times New Roman"/>
          <w:b/>
          <w:color w:val="000000"/>
          <w:szCs w:val="24"/>
        </w:rPr>
        <w:t>ĮGYVENDINIMO</w:t>
      </w:r>
      <w:proofErr w:type="gramEnd"/>
      <w:r w:rsidRPr="0030687C">
        <w:rPr>
          <w:rFonts w:cs="Times New Roman"/>
          <w:b/>
          <w:color w:val="000000"/>
          <w:szCs w:val="24"/>
        </w:rPr>
        <w:t xml:space="preserve"> TAISYKLES, PATVIRTINTAS </w:t>
      </w:r>
      <w:r w:rsidRPr="0030687C">
        <w:rPr>
          <w:rFonts w:cs="Times New Roman"/>
          <w:b/>
          <w:szCs w:val="24"/>
        </w:rPr>
        <w:t>LIETUVOS RESPUBLIKOS</w:t>
      </w:r>
      <w:r w:rsidRPr="0030687C">
        <w:rPr>
          <w:rFonts w:cs="Times New Roman"/>
          <w:b/>
          <w:color w:val="000000"/>
          <w:szCs w:val="24"/>
        </w:rPr>
        <w:t xml:space="preserve"> ŽEMĖS ŪKIO MINISTRO 2016</w:t>
      </w:r>
      <w:r>
        <w:rPr>
          <w:rFonts w:cs="Times New Roman"/>
          <w:b/>
          <w:color w:val="000000"/>
          <w:szCs w:val="24"/>
        </w:rPr>
        <w:t> </w:t>
      </w:r>
      <w:r w:rsidRPr="0030687C">
        <w:rPr>
          <w:rFonts w:cs="Times New Roman"/>
          <w:b/>
          <w:color w:val="000000"/>
          <w:szCs w:val="24"/>
        </w:rPr>
        <w:t xml:space="preserve">M. </w:t>
      </w:r>
      <w:r w:rsidR="00B260E5">
        <w:rPr>
          <w:rFonts w:cs="Times New Roman"/>
          <w:b/>
          <w:color w:val="000000"/>
          <w:szCs w:val="24"/>
        </w:rPr>
        <w:t>KOVO 29</w:t>
      </w:r>
      <w:r w:rsidRPr="0030687C">
        <w:rPr>
          <w:rFonts w:cs="Times New Roman"/>
          <w:b/>
          <w:color w:val="000000"/>
          <w:szCs w:val="24"/>
        </w:rPr>
        <w:t xml:space="preserve"> D. ĮSAKYMU NR. 3D-</w:t>
      </w:r>
      <w:r w:rsidR="00B260E5">
        <w:rPr>
          <w:rFonts w:cs="Times New Roman"/>
          <w:b/>
          <w:color w:val="000000"/>
          <w:szCs w:val="24"/>
        </w:rPr>
        <w:t>167</w:t>
      </w:r>
      <w:r w:rsidRPr="0030687C">
        <w:rPr>
          <w:rFonts w:cs="Times New Roman"/>
          <w:b/>
          <w:color w:val="000000"/>
          <w:szCs w:val="24"/>
        </w:rPr>
        <w:t xml:space="preserve"> </w:t>
      </w:r>
    </w:p>
    <w:tbl>
      <w:tblPr>
        <w:tblStyle w:val="TableGrid"/>
        <w:tblW w:w="15021" w:type="dxa"/>
        <w:tblLook w:val="04A0" w:firstRow="1" w:lastRow="0" w:firstColumn="1" w:lastColumn="0" w:noHBand="0" w:noVBand="1"/>
      </w:tblPr>
      <w:tblGrid>
        <w:gridCol w:w="7366"/>
        <w:gridCol w:w="4395"/>
        <w:gridCol w:w="3260"/>
      </w:tblGrid>
      <w:tr w:rsidR="00914A62" w:rsidRPr="0030687C" w14:paraId="5D8E4107" w14:textId="77777777" w:rsidTr="000F53E8">
        <w:tc>
          <w:tcPr>
            <w:tcW w:w="7366" w:type="dxa"/>
          </w:tcPr>
          <w:p w14:paraId="3C10548B" w14:textId="77777777" w:rsidR="00914A62" w:rsidRPr="000F53E8" w:rsidRDefault="00914A62" w:rsidP="00914A62">
            <w:pPr>
              <w:tabs>
                <w:tab w:val="left" w:pos="601"/>
              </w:tabs>
              <w:ind w:right="-57"/>
              <w:jc w:val="both"/>
              <w:rPr>
                <w:rFonts w:cs="Times New Roman"/>
                <w:color w:val="000000"/>
                <w:szCs w:val="24"/>
              </w:rPr>
            </w:pPr>
            <w:r w:rsidRPr="0030687C">
              <w:rPr>
                <w:rFonts w:cs="Times New Roman"/>
                <w:b/>
                <w:color w:val="000000" w:themeColor="text1"/>
                <w:szCs w:val="24"/>
              </w:rPr>
              <w:t>Privalu žinoti</w:t>
            </w:r>
          </w:p>
        </w:tc>
        <w:tc>
          <w:tcPr>
            <w:tcW w:w="4395" w:type="dxa"/>
          </w:tcPr>
          <w:p w14:paraId="59882B5E" w14:textId="77777777" w:rsidR="00914A62" w:rsidRPr="000F53E8" w:rsidRDefault="00914A62" w:rsidP="00914A62">
            <w:pPr>
              <w:jc w:val="both"/>
              <w:rPr>
                <w:rFonts w:cs="Times New Roman"/>
                <w:color w:val="000000"/>
                <w:szCs w:val="24"/>
              </w:rPr>
            </w:pPr>
            <w:r w:rsidRPr="0030687C">
              <w:rPr>
                <w:rFonts w:cs="Times New Roman"/>
                <w:b/>
                <w:color w:val="000000" w:themeColor="text1"/>
                <w:szCs w:val="24"/>
              </w:rPr>
              <w:t>Taikoma sankcija</w:t>
            </w:r>
          </w:p>
        </w:tc>
        <w:tc>
          <w:tcPr>
            <w:tcW w:w="3260" w:type="dxa"/>
          </w:tcPr>
          <w:p w14:paraId="57F49894" w14:textId="77777777" w:rsidR="00914A62" w:rsidRPr="000F53E8" w:rsidRDefault="00914A62" w:rsidP="00914A62">
            <w:pPr>
              <w:jc w:val="both"/>
              <w:rPr>
                <w:rFonts w:cs="Times New Roman"/>
                <w:color w:val="000000" w:themeColor="text1"/>
                <w:szCs w:val="24"/>
              </w:rPr>
            </w:pPr>
            <w:r w:rsidRPr="0030687C">
              <w:rPr>
                <w:rFonts w:cs="Times New Roman"/>
                <w:b/>
                <w:color w:val="000000" w:themeColor="text1"/>
                <w:szCs w:val="24"/>
              </w:rPr>
              <w:t>Nuoroda į teisės aktą</w:t>
            </w:r>
          </w:p>
        </w:tc>
      </w:tr>
      <w:tr w:rsidR="002F18E0" w:rsidRPr="0030687C" w14:paraId="03DD9555" w14:textId="77777777" w:rsidTr="000F53E8">
        <w:tc>
          <w:tcPr>
            <w:tcW w:w="7366" w:type="dxa"/>
          </w:tcPr>
          <w:p w14:paraId="35618C86" w14:textId="77777777" w:rsidR="002F18E0" w:rsidRPr="000F53E8" w:rsidRDefault="00694E1C" w:rsidP="00914A62">
            <w:pPr>
              <w:tabs>
                <w:tab w:val="left" w:pos="601"/>
              </w:tabs>
              <w:ind w:right="-57"/>
              <w:jc w:val="both"/>
              <w:rPr>
                <w:rFonts w:cs="Times New Roman"/>
                <w:color w:val="000000" w:themeColor="text1"/>
                <w:szCs w:val="24"/>
              </w:rPr>
            </w:pPr>
            <w:r w:rsidRPr="000F53E8">
              <w:rPr>
                <w:rFonts w:cs="Times New Roman"/>
                <w:color w:val="000000"/>
                <w:szCs w:val="24"/>
              </w:rPr>
              <w:t xml:space="preserve">Nuo paramos paraiškos pateikimo dienos tvarkyti buhalterinę apskaitą </w:t>
            </w:r>
            <w:r w:rsidR="00914A62" w:rsidRPr="007D63F7">
              <w:t>pagal Lietuvos Respublikos teisės aktų nustatytus reikalavimus</w:t>
            </w:r>
            <w:r w:rsidR="00AA20D7">
              <w:t>.</w:t>
            </w:r>
          </w:p>
        </w:tc>
        <w:tc>
          <w:tcPr>
            <w:tcW w:w="4395" w:type="dxa"/>
          </w:tcPr>
          <w:p w14:paraId="7A58C87E" w14:textId="77777777" w:rsidR="002F18E0" w:rsidRPr="000F53E8" w:rsidRDefault="000F53E8">
            <w:pPr>
              <w:jc w:val="both"/>
              <w:rPr>
                <w:rFonts w:cs="Times New Roman"/>
                <w:color w:val="000000" w:themeColor="text1"/>
                <w:szCs w:val="24"/>
              </w:rPr>
            </w:pPr>
            <w:r w:rsidRPr="000F53E8">
              <w:rPr>
                <w:rFonts w:cs="Times New Roman"/>
                <w:color w:val="000000"/>
                <w:szCs w:val="24"/>
              </w:rPr>
              <w:t>Paramos sumažinimas arba paramos susigrąžinimas 0,5–10 proc. nuo išmokėtos paramos sumos, bet ne mažiau nei 100,0</w:t>
            </w:r>
            <w:r w:rsidR="00AA20D7">
              <w:rPr>
                <w:rFonts w:cs="Times New Roman"/>
                <w:color w:val="000000"/>
                <w:szCs w:val="24"/>
              </w:rPr>
              <w:t> </w:t>
            </w:r>
            <w:r w:rsidRPr="000F53E8">
              <w:rPr>
                <w:rFonts w:cs="Times New Roman"/>
                <w:color w:val="000000"/>
                <w:szCs w:val="24"/>
              </w:rPr>
              <w:t xml:space="preserve"> Eur.</w:t>
            </w:r>
          </w:p>
        </w:tc>
        <w:tc>
          <w:tcPr>
            <w:tcW w:w="3260" w:type="dxa"/>
          </w:tcPr>
          <w:p w14:paraId="3B10857B" w14:textId="77777777" w:rsidR="002F18E0" w:rsidRPr="000F53E8" w:rsidRDefault="002F18E0" w:rsidP="00693A14">
            <w:pPr>
              <w:jc w:val="both"/>
              <w:rPr>
                <w:rFonts w:cs="Times New Roman"/>
                <w:color w:val="000000" w:themeColor="text1"/>
                <w:szCs w:val="24"/>
              </w:rPr>
            </w:pPr>
            <w:r w:rsidRPr="000F53E8">
              <w:rPr>
                <w:rFonts w:cs="Times New Roman"/>
                <w:color w:val="000000" w:themeColor="text1"/>
                <w:szCs w:val="24"/>
              </w:rPr>
              <w:t xml:space="preserve">Sankcijų už teisės aktų nuostatų pažeidimus įgyvendinant </w:t>
            </w:r>
            <w:r w:rsidR="00694E1C" w:rsidRPr="000F53E8">
              <w:rPr>
                <w:rFonts w:cs="Times New Roman"/>
                <w:color w:val="000000"/>
                <w:szCs w:val="24"/>
              </w:rPr>
              <w:t xml:space="preserve">Lietuvos žuvininkystės sektoriaus 2014–2020 metų veiksmų programos </w:t>
            </w:r>
            <w:r w:rsidRPr="000F53E8">
              <w:rPr>
                <w:rFonts w:cs="Times New Roman"/>
                <w:color w:val="000000" w:themeColor="text1"/>
                <w:szCs w:val="24"/>
              </w:rPr>
              <w:t>priemones taikymo metodika</w:t>
            </w:r>
            <w:r w:rsidR="00CA21D5" w:rsidRPr="000F53E8">
              <w:rPr>
                <w:rFonts w:cs="Times New Roman"/>
                <w:color w:val="000000" w:themeColor="text1"/>
                <w:szCs w:val="24"/>
              </w:rPr>
              <w:t>,</w:t>
            </w:r>
            <w:r w:rsidRPr="000F53E8">
              <w:rPr>
                <w:rFonts w:cs="Times New Roman"/>
                <w:color w:val="000000" w:themeColor="text1"/>
                <w:szCs w:val="24"/>
              </w:rPr>
              <w:t xml:space="preserve"> </w:t>
            </w:r>
            <w:r w:rsidR="0030687C" w:rsidRPr="000F53E8">
              <w:rPr>
                <w:rFonts w:cs="Times New Roman"/>
                <w:color w:val="000000" w:themeColor="text1"/>
                <w:szCs w:val="24"/>
              </w:rPr>
              <w:t>patvirtinta žemės ūkio ministro 201</w:t>
            </w:r>
            <w:r w:rsidR="00694E1C" w:rsidRPr="000F53E8">
              <w:rPr>
                <w:rFonts w:cs="Times New Roman"/>
                <w:color w:val="000000" w:themeColor="text1"/>
                <w:szCs w:val="24"/>
              </w:rPr>
              <w:t>5</w:t>
            </w:r>
            <w:r w:rsidR="0030687C" w:rsidRPr="000F53E8">
              <w:rPr>
                <w:rFonts w:cs="Times New Roman"/>
                <w:color w:val="000000" w:themeColor="text1"/>
                <w:szCs w:val="24"/>
              </w:rPr>
              <w:t xml:space="preserve"> m. </w:t>
            </w:r>
            <w:r w:rsidR="00694E1C" w:rsidRPr="000F53E8">
              <w:rPr>
                <w:rFonts w:cs="Times New Roman"/>
                <w:color w:val="000000" w:themeColor="text1"/>
                <w:szCs w:val="24"/>
              </w:rPr>
              <w:t>rugpjūčio</w:t>
            </w:r>
            <w:r w:rsidR="0030687C" w:rsidRPr="000F53E8">
              <w:rPr>
                <w:rFonts w:cs="Times New Roman"/>
                <w:color w:val="000000" w:themeColor="text1"/>
                <w:szCs w:val="24"/>
              </w:rPr>
              <w:t xml:space="preserve"> </w:t>
            </w:r>
            <w:r w:rsidR="00694E1C" w:rsidRPr="000F53E8">
              <w:rPr>
                <w:rFonts w:cs="Times New Roman"/>
                <w:color w:val="000000" w:themeColor="text1"/>
                <w:szCs w:val="24"/>
              </w:rPr>
              <w:t>13</w:t>
            </w:r>
            <w:r w:rsidR="0030687C" w:rsidRPr="000F53E8">
              <w:rPr>
                <w:rFonts w:cs="Times New Roman"/>
                <w:color w:val="000000" w:themeColor="text1"/>
                <w:szCs w:val="24"/>
              </w:rPr>
              <w:t xml:space="preserve"> d. įsakymu Nr.</w:t>
            </w:r>
            <w:r w:rsidR="00AA20D7">
              <w:rPr>
                <w:rFonts w:cs="Times New Roman"/>
                <w:color w:val="000000" w:themeColor="text1"/>
                <w:szCs w:val="24"/>
              </w:rPr>
              <w:t> </w:t>
            </w:r>
            <w:r w:rsidR="0030687C" w:rsidRPr="000F53E8">
              <w:rPr>
                <w:rFonts w:cs="Times New Roman"/>
                <w:color w:val="000000" w:themeColor="text1"/>
                <w:szCs w:val="24"/>
              </w:rPr>
              <w:t>3D-</w:t>
            </w:r>
            <w:r w:rsidR="00694E1C" w:rsidRPr="000F53E8">
              <w:rPr>
                <w:rFonts w:cs="Times New Roman"/>
                <w:color w:val="000000" w:themeColor="text1"/>
                <w:szCs w:val="24"/>
              </w:rPr>
              <w:t>639.</w:t>
            </w:r>
          </w:p>
        </w:tc>
      </w:tr>
      <w:tr w:rsidR="004571E1" w:rsidRPr="0030687C" w14:paraId="01947270" w14:textId="77777777" w:rsidTr="000F53E8">
        <w:tc>
          <w:tcPr>
            <w:tcW w:w="7366" w:type="dxa"/>
          </w:tcPr>
          <w:p w14:paraId="66B68297" w14:textId="77777777" w:rsidR="00B406B4" w:rsidRPr="000F53E8" w:rsidRDefault="000F53E8" w:rsidP="00693A14">
            <w:pPr>
              <w:jc w:val="both"/>
              <w:rPr>
                <w:rFonts w:cs="Times New Roman"/>
                <w:color w:val="000000" w:themeColor="text1"/>
                <w:szCs w:val="24"/>
              </w:rPr>
            </w:pPr>
            <w:r w:rsidRPr="000F53E8">
              <w:rPr>
                <w:rFonts w:cs="Times New Roman"/>
                <w:color w:val="000000"/>
                <w:szCs w:val="24"/>
              </w:rPr>
              <w:t>Sudaryti sąlygas asmenims, turintiems teisę audituoti ir (arba) kontroliuoti, tikrinti, kaip yra vykdoma veikla, laikomasi sąlygų, už ką buvo skirta parama</w:t>
            </w:r>
            <w:r>
              <w:rPr>
                <w:rFonts w:cs="Times New Roman"/>
                <w:color w:val="000000"/>
                <w:szCs w:val="24"/>
              </w:rPr>
              <w:t>.</w:t>
            </w:r>
          </w:p>
        </w:tc>
        <w:tc>
          <w:tcPr>
            <w:tcW w:w="4395" w:type="dxa"/>
          </w:tcPr>
          <w:p w14:paraId="02BCDB36" w14:textId="77777777" w:rsidR="00B406B4" w:rsidRPr="0030687C" w:rsidRDefault="000F53E8" w:rsidP="00AA20D7">
            <w:pPr>
              <w:jc w:val="both"/>
              <w:rPr>
                <w:rFonts w:cs="Times New Roman"/>
                <w:color w:val="000000" w:themeColor="text1"/>
                <w:szCs w:val="24"/>
              </w:rPr>
            </w:pPr>
            <w:r w:rsidRPr="000F53E8">
              <w:rPr>
                <w:rFonts w:eastAsia="Times New Roman" w:cs="Times New Roman"/>
                <w:color w:val="000000"/>
                <w:szCs w:val="24"/>
                <w:lang w:eastAsia="lt-LT"/>
              </w:rPr>
              <w:t>Paramos neskyrimas arba susigrąžinimas</w:t>
            </w:r>
            <w:r w:rsidR="00AA20D7">
              <w:rPr>
                <w:rFonts w:eastAsia="Times New Roman" w:cs="Times New Roman"/>
                <w:color w:val="000000"/>
                <w:szCs w:val="24"/>
                <w:lang w:eastAsia="lt-LT"/>
              </w:rPr>
              <w:t xml:space="preserve"> </w:t>
            </w:r>
            <w:r w:rsidRPr="000F53E8">
              <w:rPr>
                <w:rFonts w:eastAsia="Times New Roman" w:cs="Times New Roman"/>
                <w:color w:val="000000"/>
                <w:szCs w:val="24"/>
                <w:lang w:eastAsia="lt-LT"/>
              </w:rPr>
              <w:t xml:space="preserve">100 proc. </w:t>
            </w:r>
          </w:p>
        </w:tc>
        <w:tc>
          <w:tcPr>
            <w:tcW w:w="3260" w:type="dxa"/>
          </w:tcPr>
          <w:p w14:paraId="22325FDD" w14:textId="77777777" w:rsidR="00B406B4" w:rsidRPr="0030687C" w:rsidRDefault="000F53E8" w:rsidP="00693A14">
            <w:pPr>
              <w:jc w:val="both"/>
              <w:rPr>
                <w:rFonts w:cs="Times New Roman"/>
                <w:color w:val="000000" w:themeColor="text1"/>
                <w:szCs w:val="24"/>
              </w:rPr>
            </w:pPr>
            <w:r w:rsidRPr="000F53E8">
              <w:rPr>
                <w:rFonts w:cs="Times New Roman"/>
                <w:color w:val="000000" w:themeColor="text1"/>
                <w:szCs w:val="24"/>
              </w:rPr>
              <w:t xml:space="preserve">Sankcijų už teisės aktų nuostatų pažeidimus įgyvendinant </w:t>
            </w:r>
            <w:r w:rsidRPr="000F53E8">
              <w:rPr>
                <w:rFonts w:cs="Times New Roman"/>
                <w:color w:val="000000"/>
                <w:szCs w:val="24"/>
              </w:rPr>
              <w:t xml:space="preserve">Lietuvos žuvininkystės sektoriaus 2014–2020 metų veiksmų programos </w:t>
            </w:r>
            <w:r w:rsidRPr="000F53E8">
              <w:rPr>
                <w:rFonts w:cs="Times New Roman"/>
                <w:color w:val="000000" w:themeColor="text1"/>
                <w:szCs w:val="24"/>
              </w:rPr>
              <w:t>priemones taikymo metodika, patvirtinta žemės ūkio ministro 2015 m. rugpjūčio 13 d. įsakymu Nr.</w:t>
            </w:r>
            <w:r w:rsidR="00AA20D7">
              <w:rPr>
                <w:rFonts w:cs="Times New Roman"/>
                <w:color w:val="000000" w:themeColor="text1"/>
                <w:szCs w:val="24"/>
              </w:rPr>
              <w:t> </w:t>
            </w:r>
            <w:r w:rsidRPr="000F53E8">
              <w:rPr>
                <w:rFonts w:cs="Times New Roman"/>
                <w:color w:val="000000" w:themeColor="text1"/>
                <w:szCs w:val="24"/>
              </w:rPr>
              <w:t>3D-639.</w:t>
            </w:r>
          </w:p>
        </w:tc>
      </w:tr>
      <w:tr w:rsidR="00880FD3" w:rsidRPr="0030687C" w14:paraId="1171177C" w14:textId="77777777" w:rsidTr="000F53E8">
        <w:tc>
          <w:tcPr>
            <w:tcW w:w="7366" w:type="dxa"/>
          </w:tcPr>
          <w:p w14:paraId="36F6F24D" w14:textId="77777777" w:rsidR="00880FD3" w:rsidRPr="00BC76C8" w:rsidRDefault="00BC76C8" w:rsidP="00693A14">
            <w:pPr>
              <w:jc w:val="both"/>
              <w:rPr>
                <w:rFonts w:cs="Times New Roman"/>
                <w:color w:val="000000" w:themeColor="text1"/>
                <w:szCs w:val="24"/>
              </w:rPr>
            </w:pPr>
            <w:r w:rsidRPr="00BC76C8">
              <w:rPr>
                <w:rFonts w:cs="Times New Roman"/>
                <w:color w:val="000000"/>
                <w:szCs w:val="24"/>
              </w:rPr>
              <w:t xml:space="preserve">Teikti visą informaciją ir duomenis, reikalingus statistikos tikslams ir </w:t>
            </w:r>
            <w:r w:rsidR="00AA20D7" w:rsidRPr="009A2365">
              <w:rPr>
                <w:bCs/>
                <w:lang w:val="en-GB"/>
              </w:rPr>
              <w:t xml:space="preserve">Lietuvos </w:t>
            </w:r>
            <w:proofErr w:type="spellStart"/>
            <w:r w:rsidR="00AA20D7" w:rsidRPr="009A2365">
              <w:rPr>
                <w:bCs/>
                <w:lang w:val="en-GB"/>
              </w:rPr>
              <w:t>žuvininkystės</w:t>
            </w:r>
            <w:proofErr w:type="spellEnd"/>
            <w:r w:rsidR="00AA20D7" w:rsidRPr="009A2365">
              <w:rPr>
                <w:bCs/>
                <w:lang w:val="en-GB"/>
              </w:rPr>
              <w:t xml:space="preserve"> </w:t>
            </w:r>
            <w:proofErr w:type="spellStart"/>
            <w:r w:rsidR="00AA20D7" w:rsidRPr="009A2365">
              <w:rPr>
                <w:bCs/>
                <w:lang w:val="en-GB"/>
              </w:rPr>
              <w:t>sektoriaus</w:t>
            </w:r>
            <w:proofErr w:type="spellEnd"/>
            <w:r w:rsidR="00AA20D7" w:rsidRPr="009A2365">
              <w:rPr>
                <w:bCs/>
                <w:lang w:val="en-GB"/>
              </w:rPr>
              <w:t xml:space="preserve"> 2014–2020 </w:t>
            </w:r>
            <w:proofErr w:type="spellStart"/>
            <w:r w:rsidR="00AA20D7" w:rsidRPr="009A2365">
              <w:rPr>
                <w:bCs/>
                <w:lang w:val="en-GB"/>
              </w:rPr>
              <w:t>metų</w:t>
            </w:r>
            <w:proofErr w:type="spellEnd"/>
            <w:r w:rsidR="00AA20D7" w:rsidRPr="009A2365">
              <w:rPr>
                <w:bCs/>
                <w:lang w:val="en-GB"/>
              </w:rPr>
              <w:t xml:space="preserve"> </w:t>
            </w:r>
            <w:r w:rsidR="00AA20D7" w:rsidRPr="00AA20D7">
              <w:rPr>
                <w:rFonts w:cs="Times New Roman"/>
                <w:color w:val="000000"/>
                <w:szCs w:val="24"/>
              </w:rPr>
              <w:t>v</w:t>
            </w:r>
            <w:r w:rsidRPr="00BC76C8">
              <w:rPr>
                <w:rFonts w:cs="Times New Roman"/>
                <w:color w:val="000000"/>
                <w:szCs w:val="24"/>
              </w:rPr>
              <w:t>eiksmų programos įgyvendinimo stebėsenai bei reikalingiems vertinimams atlikti.</w:t>
            </w:r>
          </w:p>
        </w:tc>
        <w:tc>
          <w:tcPr>
            <w:tcW w:w="4395" w:type="dxa"/>
          </w:tcPr>
          <w:p w14:paraId="3ABA55FB" w14:textId="77777777" w:rsidR="00880FD3" w:rsidRPr="00C8461F" w:rsidRDefault="00C8461F">
            <w:pPr>
              <w:jc w:val="both"/>
              <w:rPr>
                <w:rFonts w:cs="Times New Roman"/>
                <w:color w:val="000000" w:themeColor="text1"/>
                <w:szCs w:val="24"/>
              </w:rPr>
            </w:pPr>
            <w:r w:rsidRPr="00C8461F">
              <w:rPr>
                <w:rFonts w:cs="Times New Roman"/>
                <w:color w:val="000000"/>
                <w:szCs w:val="24"/>
              </w:rPr>
              <w:t>Paramos sumažinimas ir (arba) susigrąžinimas (projekto ar kontrolės laikotarpiu) 0,5–100 proc. nuo išmokėtos paramos sumos, bet ne mažiau nei 100,01</w:t>
            </w:r>
            <w:r w:rsidR="00AA20D7">
              <w:rPr>
                <w:rFonts w:cs="Times New Roman"/>
                <w:color w:val="000000"/>
                <w:szCs w:val="24"/>
              </w:rPr>
              <w:t> </w:t>
            </w:r>
            <w:r w:rsidRPr="00C8461F">
              <w:rPr>
                <w:rFonts w:cs="Times New Roman"/>
                <w:color w:val="000000"/>
                <w:szCs w:val="24"/>
              </w:rPr>
              <w:t>Eur.</w:t>
            </w:r>
          </w:p>
        </w:tc>
        <w:tc>
          <w:tcPr>
            <w:tcW w:w="3260" w:type="dxa"/>
          </w:tcPr>
          <w:p w14:paraId="1981539B" w14:textId="77777777" w:rsidR="00880FD3" w:rsidRPr="0030687C" w:rsidRDefault="00C8461F" w:rsidP="00693A14">
            <w:pPr>
              <w:jc w:val="both"/>
              <w:rPr>
                <w:rFonts w:cs="Times New Roman"/>
                <w:color w:val="000000" w:themeColor="text1"/>
                <w:szCs w:val="24"/>
              </w:rPr>
            </w:pPr>
            <w:r w:rsidRPr="000F53E8">
              <w:rPr>
                <w:rFonts w:cs="Times New Roman"/>
                <w:color w:val="000000" w:themeColor="text1"/>
                <w:szCs w:val="24"/>
              </w:rPr>
              <w:t xml:space="preserve">Sankcijų už teisės aktų nuostatų pažeidimus įgyvendinant </w:t>
            </w:r>
            <w:r w:rsidRPr="000F53E8">
              <w:rPr>
                <w:rFonts w:cs="Times New Roman"/>
                <w:color w:val="000000"/>
                <w:szCs w:val="24"/>
              </w:rPr>
              <w:t xml:space="preserve">Lietuvos žuvininkystės sektoriaus 2014–2020 metų veiksmų programos </w:t>
            </w:r>
            <w:r w:rsidRPr="000F53E8">
              <w:rPr>
                <w:rFonts w:cs="Times New Roman"/>
                <w:color w:val="000000" w:themeColor="text1"/>
                <w:szCs w:val="24"/>
              </w:rPr>
              <w:t xml:space="preserve">priemones </w:t>
            </w:r>
            <w:r w:rsidRPr="000F53E8">
              <w:rPr>
                <w:rFonts w:cs="Times New Roman"/>
                <w:color w:val="000000" w:themeColor="text1"/>
                <w:szCs w:val="24"/>
              </w:rPr>
              <w:lastRenderedPageBreak/>
              <w:t>taikymo metodika, patvirtinta žemės ūkio ministro 2015 m. rugpjūčio 13 d. įsakymu Nr.</w:t>
            </w:r>
            <w:r w:rsidR="00AA20D7">
              <w:rPr>
                <w:rFonts w:cs="Times New Roman"/>
                <w:color w:val="000000" w:themeColor="text1"/>
                <w:szCs w:val="24"/>
              </w:rPr>
              <w:t> </w:t>
            </w:r>
            <w:r w:rsidRPr="000F53E8">
              <w:rPr>
                <w:rFonts w:cs="Times New Roman"/>
                <w:color w:val="000000" w:themeColor="text1"/>
                <w:szCs w:val="24"/>
              </w:rPr>
              <w:t>3D-639.</w:t>
            </w:r>
          </w:p>
        </w:tc>
      </w:tr>
      <w:tr w:rsidR="00A7777B" w:rsidRPr="0030687C" w14:paraId="21416F15" w14:textId="77777777" w:rsidTr="000F53E8">
        <w:tc>
          <w:tcPr>
            <w:tcW w:w="7366" w:type="dxa"/>
          </w:tcPr>
          <w:p w14:paraId="3A9EB009" w14:textId="77777777" w:rsidR="00A7777B" w:rsidRPr="007B68DD" w:rsidRDefault="00C8461F" w:rsidP="00914A62">
            <w:pPr>
              <w:jc w:val="both"/>
              <w:rPr>
                <w:rFonts w:cs="Times New Roman"/>
                <w:color w:val="000000" w:themeColor="text1"/>
                <w:szCs w:val="24"/>
              </w:rPr>
            </w:pPr>
            <w:r w:rsidRPr="007B68DD">
              <w:rPr>
                <w:rFonts w:cs="Times New Roman"/>
                <w:color w:val="000000"/>
                <w:szCs w:val="24"/>
              </w:rPr>
              <w:lastRenderedPageBreak/>
              <w:t>Apie pastebėtus žinduolius ir jų padarytą žalą registruoti žvejybos žurnale (taikoma visos deklaruotos žvejybos metu), kaip nurodyta Verslinės žvejybos jūrų vandenyse taisyklėse, patvirtintose Lietuvos Respublikos žemės ūkio ministro 2009 m. vasario 12 d. įsakymu Nr. 3D-94 „Dėl Verslinės žvejybos jūrų vandenyse taisyklių patvirtinimo“</w:t>
            </w:r>
            <w:r w:rsidR="00AA20D7">
              <w:rPr>
                <w:rFonts w:cs="Times New Roman"/>
                <w:color w:val="000000"/>
                <w:szCs w:val="24"/>
              </w:rPr>
              <w:t>.</w:t>
            </w:r>
          </w:p>
        </w:tc>
        <w:tc>
          <w:tcPr>
            <w:tcW w:w="4395" w:type="dxa"/>
          </w:tcPr>
          <w:p w14:paraId="74D427C0" w14:textId="77777777" w:rsidR="00A7777B" w:rsidRPr="00D741BF" w:rsidRDefault="000C2866" w:rsidP="002D31C0">
            <w:pPr>
              <w:pStyle w:val="tin"/>
              <w:jc w:val="both"/>
              <w:rPr>
                <w:color w:val="000000" w:themeColor="text1"/>
              </w:rPr>
            </w:pPr>
            <w:r w:rsidRPr="00D741BF">
              <w:t>Parama neskiriama arba susigrąžinama visa išmokėta paramos suma, jeigu pareiškėjas / paramos gavėjas nuo paramos paraiškos pateikimo dienos iki 5 metų laikotarpio nuo sprendimo skirti kompensaciją pabaigos</w:t>
            </w:r>
            <w:r w:rsidR="00C926A9" w:rsidRPr="00D741BF">
              <w:t xml:space="preserve"> nepild</w:t>
            </w:r>
            <w:r w:rsidR="002D31C0" w:rsidRPr="00D741BF">
              <w:t>ė</w:t>
            </w:r>
            <w:r w:rsidR="00C926A9" w:rsidRPr="00D741BF">
              <w:t xml:space="preserve"> žvejybos žurnalo (pagal Taisyklių 9.5 papunktį), kaip nurodyta Verslinės žvejybos jūrų vandenyse taisyklėse</w:t>
            </w:r>
            <w:r w:rsidR="00765134" w:rsidRPr="00D741BF">
              <w:t>.</w:t>
            </w:r>
          </w:p>
        </w:tc>
        <w:tc>
          <w:tcPr>
            <w:tcW w:w="3260" w:type="dxa"/>
          </w:tcPr>
          <w:p w14:paraId="0A05F2D4" w14:textId="77777777" w:rsidR="00A7777B" w:rsidRPr="00907C8C" w:rsidRDefault="000C2866" w:rsidP="00693A14">
            <w:pPr>
              <w:jc w:val="both"/>
              <w:rPr>
                <w:rFonts w:cs="Times New Roman"/>
                <w:color w:val="000000" w:themeColor="text1"/>
                <w:szCs w:val="24"/>
              </w:rPr>
            </w:pPr>
            <w:r w:rsidRPr="00907C8C">
              <w:rPr>
                <w:rFonts w:cs="Times New Roman"/>
                <w:color w:val="000000"/>
                <w:szCs w:val="24"/>
              </w:rPr>
              <w:t>Lietuvos žuvininkystės sektoriaus 2014–2020 metų veiksmų programos pirmojo Sąjungos prioriteto „Aplinkosaugos požiūriu tvarios, efektyviai išteklius naudojančios, inovacinės, konkurencingos ir žiniomis grindžiamos žvejybos skatinimas“ priemonės</w:t>
            </w:r>
            <w:r w:rsidRPr="00907C8C">
              <w:rPr>
                <w:rFonts w:cs="Times New Roman"/>
                <w:b/>
                <w:bCs/>
                <w:color w:val="000000"/>
                <w:szCs w:val="24"/>
              </w:rPr>
              <w:t xml:space="preserve"> </w:t>
            </w:r>
            <w:r w:rsidRPr="00907C8C">
              <w:rPr>
                <w:rFonts w:cs="Times New Roman"/>
                <w:color w:val="000000"/>
                <w:szCs w:val="24"/>
              </w:rPr>
              <w:t>„Jūrų biologinės įvairovės išsaugojimas ir atkūrimas. Laimikiui žinduolių ir paukščių padarytos žalos kompensavimo sistemos“ įgyvendinimo taisykl</w:t>
            </w:r>
            <w:r w:rsidR="00AA20D7">
              <w:rPr>
                <w:rFonts w:cs="Times New Roman"/>
                <w:color w:val="000000"/>
                <w:szCs w:val="24"/>
              </w:rPr>
              <w:t>ės,</w:t>
            </w:r>
            <w:r w:rsidRPr="00907C8C">
              <w:rPr>
                <w:rFonts w:cs="Times New Roman"/>
                <w:color w:val="000000"/>
                <w:szCs w:val="24"/>
              </w:rPr>
              <w:t xml:space="preserve"> patvirtint</w:t>
            </w:r>
            <w:r w:rsidR="00AA20D7">
              <w:rPr>
                <w:rFonts w:cs="Times New Roman"/>
                <w:color w:val="000000"/>
                <w:szCs w:val="24"/>
              </w:rPr>
              <w:t>os</w:t>
            </w:r>
            <w:r w:rsidRPr="00907C8C">
              <w:rPr>
                <w:rFonts w:cs="Times New Roman"/>
                <w:color w:val="000000"/>
                <w:szCs w:val="24"/>
              </w:rPr>
              <w:t xml:space="preserve"> žemės ūkio ministro 2016 m. kovo 29</w:t>
            </w:r>
            <w:r w:rsidR="00AA20D7">
              <w:rPr>
                <w:rFonts w:cs="Times New Roman"/>
                <w:color w:val="000000"/>
                <w:szCs w:val="24"/>
              </w:rPr>
              <w:t> </w:t>
            </w:r>
            <w:r w:rsidRPr="00907C8C">
              <w:rPr>
                <w:rFonts w:cs="Times New Roman"/>
                <w:color w:val="000000"/>
                <w:szCs w:val="24"/>
              </w:rPr>
              <w:t>d. Nr. 3D-167</w:t>
            </w:r>
          </w:p>
        </w:tc>
      </w:tr>
    </w:tbl>
    <w:p w14:paraId="664F37B7" w14:textId="77777777" w:rsidR="00AE694F" w:rsidRPr="00D741BF" w:rsidRDefault="00AE694F" w:rsidP="00AE694F">
      <w:pPr>
        <w:tabs>
          <w:tab w:val="left" w:pos="1134"/>
        </w:tabs>
        <w:ind w:firstLine="840"/>
        <w:jc w:val="both"/>
        <w:rPr>
          <w:rFonts w:cs="Times New Roman"/>
          <w:b/>
          <w:i/>
          <w:szCs w:val="24"/>
        </w:rPr>
      </w:pPr>
      <w:r w:rsidRPr="00D741BF">
        <w:rPr>
          <w:rFonts w:cs="Times New Roman"/>
          <w:b/>
          <w:i/>
          <w:szCs w:val="24"/>
        </w:rPr>
        <w:t xml:space="preserve">Atkreipiame Jūsų dėmesį, kad aukščiau yra išvardyti patys svarbiausi, bet ne visi Jums keliami reikalavimai ir įsipareigojimai, nurodyti </w:t>
      </w:r>
      <w:r w:rsidR="00765134" w:rsidRPr="00D741BF">
        <w:rPr>
          <w:rFonts w:cs="Times New Roman"/>
          <w:b/>
          <w:i/>
          <w:szCs w:val="24"/>
        </w:rPr>
        <w:t>Lietuvos žuvininkystės sektoriaus 2014–2020 metų veiksmų programos pirmojo Sąjungos prioriteto „Aplinkosaugos požiūriu tvarios, efektyviai išteklius naudojančios, inovacinės, konkurencingos ir žiniomis grindžiamos žvejybos skatinimas“ priemonės</w:t>
      </w:r>
      <w:r w:rsidR="00765134" w:rsidRPr="00D741BF">
        <w:rPr>
          <w:rFonts w:cs="Times New Roman"/>
          <w:b/>
          <w:bCs/>
          <w:i/>
          <w:szCs w:val="24"/>
        </w:rPr>
        <w:t xml:space="preserve"> </w:t>
      </w:r>
      <w:r w:rsidR="00765134" w:rsidRPr="00D741BF">
        <w:rPr>
          <w:rFonts w:cs="Times New Roman"/>
          <w:b/>
          <w:i/>
          <w:szCs w:val="24"/>
        </w:rPr>
        <w:t>„Jūrų biologinės įvairovės išsaugojimas ir atkūrimas. Laimikiui žinduolių ir paukščių padarytos žalos kompensavimo sistemos“</w:t>
      </w:r>
      <w:r w:rsidR="00AA20D7">
        <w:rPr>
          <w:rFonts w:cs="Times New Roman"/>
          <w:b/>
          <w:i/>
          <w:szCs w:val="24"/>
        </w:rPr>
        <w:t xml:space="preserve"> įgyvendinimo taisyklėse</w:t>
      </w:r>
      <w:r w:rsidRPr="00D741BF">
        <w:rPr>
          <w:rFonts w:cs="Times New Roman"/>
          <w:b/>
          <w:i/>
          <w:szCs w:val="24"/>
        </w:rPr>
        <w:t>, patvirtint</w:t>
      </w:r>
      <w:r w:rsidR="00B26C24" w:rsidRPr="00D741BF">
        <w:rPr>
          <w:rFonts w:cs="Times New Roman"/>
          <w:b/>
          <w:i/>
          <w:szCs w:val="24"/>
        </w:rPr>
        <w:t>ose</w:t>
      </w:r>
      <w:r w:rsidRPr="00D741BF">
        <w:rPr>
          <w:rFonts w:cs="Times New Roman"/>
          <w:b/>
          <w:i/>
          <w:szCs w:val="24"/>
        </w:rPr>
        <w:t xml:space="preserve"> Lietuvos Respublikos žemės ūkio ministro 2016 m. </w:t>
      </w:r>
      <w:r w:rsidR="00117A5C" w:rsidRPr="00D741BF">
        <w:rPr>
          <w:rFonts w:cs="Times New Roman"/>
          <w:b/>
          <w:i/>
          <w:szCs w:val="24"/>
        </w:rPr>
        <w:t>kovo 29 d. įsakymu Nr. 3D-167</w:t>
      </w:r>
      <w:r w:rsidRPr="00D741BF">
        <w:rPr>
          <w:rFonts w:cs="Times New Roman"/>
          <w:b/>
          <w:i/>
          <w:szCs w:val="24"/>
        </w:rPr>
        <w:t xml:space="preserve"> „</w:t>
      </w:r>
      <w:r w:rsidR="00117A5C" w:rsidRPr="00D741BF">
        <w:rPr>
          <w:rFonts w:cs="Times New Roman"/>
          <w:b/>
          <w:i/>
          <w:szCs w:val="24"/>
        </w:rPr>
        <w:t>Dėl Lietuvos žuvininkystės sektoriaus</w:t>
      </w:r>
      <w:r w:rsidRPr="00D741BF">
        <w:rPr>
          <w:rFonts w:cs="Times New Roman"/>
          <w:b/>
          <w:i/>
          <w:szCs w:val="24"/>
        </w:rPr>
        <w:t xml:space="preserve"> 2014–2020 metų </w:t>
      </w:r>
      <w:r w:rsidR="007D6D76" w:rsidRPr="00D741BF">
        <w:rPr>
          <w:rFonts w:cs="Times New Roman"/>
          <w:b/>
          <w:i/>
          <w:szCs w:val="24"/>
        </w:rPr>
        <w:t>veiksmų pirmojo Sąjungos prioriteto „Aplinkosaugos požiūriu tvarios, efektyviai išteklius naudojančios, inovacinės, konkurencingos ir žiniomis grindžiamos žvejybos skatinimas“ priemonės</w:t>
      </w:r>
      <w:r w:rsidR="007D6D76" w:rsidRPr="00D741BF">
        <w:rPr>
          <w:rFonts w:cs="Times New Roman"/>
          <w:b/>
          <w:bCs/>
          <w:i/>
          <w:szCs w:val="24"/>
        </w:rPr>
        <w:t xml:space="preserve"> </w:t>
      </w:r>
      <w:r w:rsidR="007D6D76" w:rsidRPr="00D741BF">
        <w:rPr>
          <w:rFonts w:cs="Times New Roman"/>
          <w:b/>
          <w:i/>
          <w:szCs w:val="24"/>
        </w:rPr>
        <w:t xml:space="preserve">„Jūrų biologinės įvairovės išsaugojimas ir atkūrimas. Laimikiui žinduolių ir paukščių padarytos žalos kompensavimo sistemos“ </w:t>
      </w:r>
      <w:r w:rsidR="00AA20D7">
        <w:rPr>
          <w:rFonts w:cs="Times New Roman"/>
          <w:b/>
          <w:i/>
          <w:szCs w:val="24"/>
        </w:rPr>
        <w:t xml:space="preserve">įgyvendinimo taisyklių </w:t>
      </w:r>
      <w:r w:rsidRPr="00D741BF">
        <w:rPr>
          <w:rFonts w:cs="Times New Roman"/>
          <w:b/>
          <w:i/>
          <w:szCs w:val="24"/>
        </w:rPr>
        <w:t>patvirtinimo“.</w:t>
      </w:r>
    </w:p>
    <w:p w14:paraId="08196570" w14:textId="77777777" w:rsidR="00AE694F" w:rsidRPr="0030687C" w:rsidRDefault="00AE694F" w:rsidP="00753B6A">
      <w:pPr>
        <w:spacing w:after="0" w:line="240" w:lineRule="auto"/>
        <w:rPr>
          <w:rFonts w:cs="Times New Roman"/>
          <w:color w:val="000000" w:themeColor="text1"/>
          <w:szCs w:val="24"/>
        </w:rPr>
      </w:pPr>
    </w:p>
    <w:sectPr w:rsidR="00AE694F" w:rsidRPr="0030687C" w:rsidSect="009A2365">
      <w:headerReference w:type="default" r:id="rId10"/>
      <w:pgSz w:w="16838" w:h="11906" w:orient="landscape" w:code="9"/>
      <w:pgMar w:top="1701" w:right="567" w:bottom="1134" w:left="1134"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F754B" w14:textId="77777777" w:rsidR="00D4165D" w:rsidRDefault="00D4165D" w:rsidP="0030687C">
      <w:pPr>
        <w:spacing w:after="0" w:line="240" w:lineRule="auto"/>
      </w:pPr>
      <w:r>
        <w:separator/>
      </w:r>
    </w:p>
  </w:endnote>
  <w:endnote w:type="continuationSeparator" w:id="0">
    <w:p w14:paraId="49ACE087" w14:textId="77777777" w:rsidR="00D4165D" w:rsidRDefault="00D4165D" w:rsidP="0030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29F4B" w14:textId="77777777" w:rsidR="00D4165D" w:rsidRDefault="00D4165D" w:rsidP="0030687C">
      <w:pPr>
        <w:spacing w:after="0" w:line="240" w:lineRule="auto"/>
      </w:pPr>
      <w:r>
        <w:separator/>
      </w:r>
    </w:p>
  </w:footnote>
  <w:footnote w:type="continuationSeparator" w:id="0">
    <w:p w14:paraId="3CAD9F71" w14:textId="77777777" w:rsidR="00D4165D" w:rsidRDefault="00D4165D" w:rsidP="0030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467669"/>
      <w:docPartObj>
        <w:docPartGallery w:val="Page Numbers (Top of Page)"/>
        <w:docPartUnique/>
      </w:docPartObj>
    </w:sdtPr>
    <w:sdtEndPr>
      <w:rPr>
        <w:noProof/>
      </w:rPr>
    </w:sdtEndPr>
    <w:sdtContent>
      <w:p w14:paraId="215F5E8B" w14:textId="77777777" w:rsidR="0030687C" w:rsidRDefault="0030687C" w:rsidP="000F53E8">
        <w:pPr>
          <w:pStyle w:val="Header"/>
          <w:jc w:val="center"/>
        </w:pPr>
        <w:r>
          <w:fldChar w:fldCharType="begin"/>
        </w:r>
        <w:r>
          <w:instrText xml:space="preserve"> PAGE   \* MERGEFORMAT </w:instrText>
        </w:r>
        <w:r>
          <w:fldChar w:fldCharType="separate"/>
        </w:r>
        <w:r w:rsidR="00E526C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65A6"/>
    <w:rsid w:val="00015D91"/>
    <w:rsid w:val="000C2866"/>
    <w:rsid w:val="000D1EEE"/>
    <w:rsid w:val="000D3D9A"/>
    <w:rsid w:val="000F53E8"/>
    <w:rsid w:val="00117A5C"/>
    <w:rsid w:val="001627DC"/>
    <w:rsid w:val="001B152A"/>
    <w:rsid w:val="001E544C"/>
    <w:rsid w:val="001F18D9"/>
    <w:rsid w:val="002458C0"/>
    <w:rsid w:val="00252E21"/>
    <w:rsid w:val="00261DC5"/>
    <w:rsid w:val="00265270"/>
    <w:rsid w:val="00291C6F"/>
    <w:rsid w:val="002D31C0"/>
    <w:rsid w:val="002F18E0"/>
    <w:rsid w:val="0030687C"/>
    <w:rsid w:val="00337AE5"/>
    <w:rsid w:val="00434A75"/>
    <w:rsid w:val="004571E1"/>
    <w:rsid w:val="00471437"/>
    <w:rsid w:val="00472F3B"/>
    <w:rsid w:val="00480E94"/>
    <w:rsid w:val="004A3089"/>
    <w:rsid w:val="004F4109"/>
    <w:rsid w:val="005A3E0E"/>
    <w:rsid w:val="005E1EEE"/>
    <w:rsid w:val="00693A14"/>
    <w:rsid w:val="00694E1C"/>
    <w:rsid w:val="006B6DD4"/>
    <w:rsid w:val="006D4FDC"/>
    <w:rsid w:val="006E150E"/>
    <w:rsid w:val="006F4C0F"/>
    <w:rsid w:val="00753B6A"/>
    <w:rsid w:val="00765134"/>
    <w:rsid w:val="00770C26"/>
    <w:rsid w:val="00796F48"/>
    <w:rsid w:val="007B68DD"/>
    <w:rsid w:val="007C09C3"/>
    <w:rsid w:val="007D6D76"/>
    <w:rsid w:val="00813F29"/>
    <w:rsid w:val="00880FD3"/>
    <w:rsid w:val="008B5A88"/>
    <w:rsid w:val="008C7AA2"/>
    <w:rsid w:val="00907C8C"/>
    <w:rsid w:val="00914A62"/>
    <w:rsid w:val="009A2365"/>
    <w:rsid w:val="009B51CF"/>
    <w:rsid w:val="009E3A8F"/>
    <w:rsid w:val="00A14B3D"/>
    <w:rsid w:val="00A16BC3"/>
    <w:rsid w:val="00A22955"/>
    <w:rsid w:val="00A7777B"/>
    <w:rsid w:val="00A83833"/>
    <w:rsid w:val="00AA20D7"/>
    <w:rsid w:val="00AD0823"/>
    <w:rsid w:val="00AE694F"/>
    <w:rsid w:val="00B260E5"/>
    <w:rsid w:val="00B26C24"/>
    <w:rsid w:val="00B406B4"/>
    <w:rsid w:val="00BC76C8"/>
    <w:rsid w:val="00BD32D3"/>
    <w:rsid w:val="00C657D7"/>
    <w:rsid w:val="00C8461F"/>
    <w:rsid w:val="00C926A9"/>
    <w:rsid w:val="00CA1DBB"/>
    <w:rsid w:val="00CA21D5"/>
    <w:rsid w:val="00CC7496"/>
    <w:rsid w:val="00D25F5F"/>
    <w:rsid w:val="00D4165D"/>
    <w:rsid w:val="00D741BF"/>
    <w:rsid w:val="00D8590E"/>
    <w:rsid w:val="00D94CB8"/>
    <w:rsid w:val="00E02D4E"/>
    <w:rsid w:val="00E25300"/>
    <w:rsid w:val="00E43470"/>
    <w:rsid w:val="00E526CB"/>
    <w:rsid w:val="00EB4746"/>
    <w:rsid w:val="00EB4F53"/>
    <w:rsid w:val="00ED5754"/>
    <w:rsid w:val="00F026BB"/>
    <w:rsid w:val="00F824BA"/>
    <w:rsid w:val="00FC671F"/>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96DE"/>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3068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87C"/>
  </w:style>
  <w:style w:type="paragraph" w:styleId="Footer">
    <w:name w:val="footer"/>
    <w:basedOn w:val="Normal"/>
    <w:link w:val="FooterChar"/>
    <w:uiPriority w:val="99"/>
    <w:unhideWhenUsed/>
    <w:rsid w:val="003068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87C"/>
  </w:style>
  <w:style w:type="paragraph" w:styleId="Revision">
    <w:name w:val="Revision"/>
    <w:hidden/>
    <w:uiPriority w:val="99"/>
    <w:semiHidden/>
    <w:rsid w:val="00AA2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AF041314-7EF9-48A5-89F3-81B26B72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2703</Words>
  <Characters>1541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NMA</cp:lastModifiedBy>
  <cp:revision>2</cp:revision>
  <dcterms:created xsi:type="dcterms:W3CDTF">2023-06-26T05:33:00Z</dcterms:created>
  <dcterms:modified xsi:type="dcterms:W3CDTF">2023-06-26T05:33:00Z</dcterms:modified>
</cp:coreProperties>
</file>