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DD7" w:rsidRDefault="00BD7DD7">
      <w:pPr>
        <w:tabs>
          <w:tab w:val="center" w:pos="4819"/>
          <w:tab w:val="right" w:pos="9638"/>
        </w:tabs>
      </w:pPr>
    </w:p>
    <w:p w:rsidR="00BD7DD7" w:rsidRDefault="00A6146C">
      <w:pPr>
        <w:spacing w:line="276" w:lineRule="auto"/>
        <w:ind w:firstLine="3596"/>
        <w:rPr>
          <w:bCs/>
          <w:szCs w:val="24"/>
        </w:rPr>
      </w:pPr>
      <w:r>
        <w:rPr>
          <w:bCs/>
          <w:szCs w:val="24"/>
        </w:rPr>
        <w:t>Lietuvos žuvininkystės sektoriaus 2021–2027 metų programos</w:t>
      </w:r>
    </w:p>
    <w:p w:rsidR="00BD7DD7" w:rsidRDefault="00A6146C">
      <w:pPr>
        <w:ind w:firstLine="3596"/>
        <w:rPr>
          <w:szCs w:val="24"/>
        </w:rPr>
      </w:pPr>
      <w:r>
        <w:rPr>
          <w:bCs/>
          <w:szCs w:val="24"/>
        </w:rPr>
        <w:t>projektų finansavimo ir administravimo taisyklių</w:t>
      </w:r>
    </w:p>
    <w:p w:rsidR="00BD7DD7" w:rsidRDefault="00930FE9">
      <w:pPr>
        <w:ind w:firstLine="3596"/>
        <w:rPr>
          <w:szCs w:val="24"/>
        </w:rPr>
      </w:pPr>
      <w:r w:rsidR="00A6146C">
        <w:rPr>
          <w:szCs w:val="24"/>
        </w:rPr>
        <w:t>5</w:t>
      </w:r>
      <w:r w:rsidR="00A6146C">
        <w:rPr>
          <w:szCs w:val="24"/>
        </w:rPr>
        <w:t xml:space="preserve"> priedas</w:t>
      </w:r>
    </w:p>
    <w:p w:rsidR="00BD7DD7" w:rsidRDefault="00BD7DD7">
      <w:pPr>
        <w:spacing w:line="276" w:lineRule="auto"/>
        <w:rPr>
          <w:b/>
          <w:szCs w:val="24"/>
        </w:rPr>
      </w:pPr>
    </w:p>
    <w:p w:rsidR="00BD7DD7" w:rsidRDefault="00BD7DD7">
      <w:pPr>
        <w:spacing w:line="276" w:lineRule="auto"/>
        <w:ind w:left="1650"/>
        <w:rPr>
          <w:b/>
          <w:bCs/>
          <w:szCs w:val="24"/>
          <w:lang w:eastAsia="lt-LT"/>
        </w:rPr>
      </w:pPr>
    </w:p>
    <w:p w:rsidR="00BD7DD7" w:rsidRDefault="00930FE9">
      <w:pPr>
        <w:spacing w:line="276" w:lineRule="auto"/>
        <w:jc w:val="center"/>
        <w:rPr>
          <w:b/>
          <w:bCs/>
          <w:szCs w:val="24"/>
          <w:lang w:eastAsia="lt-LT"/>
        </w:rPr>
      </w:pPr>
      <w:r w:rsidR="00A6146C">
        <w:rPr>
          <w:b/>
          <w:bCs/>
          <w:szCs w:val="24"/>
          <w:lang w:eastAsia="lt-LT"/>
        </w:rPr>
        <w:t>SU PAŽEIDIMU SUSIJUSIŲ NETINKAMŲ FINANSUOTI PROJEKTO IŠLAIDŲ APSKAIČIAVIMO IR TAIKYMO METODIKA</w:t>
      </w:r>
    </w:p>
    <w:p w:rsidR="00BD7DD7" w:rsidRDefault="00BD7DD7">
      <w:pPr>
        <w:spacing w:line="276" w:lineRule="auto"/>
        <w:jc w:val="center"/>
        <w:rPr>
          <w:szCs w:val="24"/>
          <w:lang w:eastAsia="lt-LT"/>
        </w:rPr>
      </w:pPr>
    </w:p>
    <w:p w:rsidR="00BD7DD7" w:rsidRDefault="00BD7DD7">
      <w:pPr>
        <w:spacing w:line="276" w:lineRule="auto"/>
        <w:jc w:val="center"/>
        <w:rPr>
          <w:szCs w:val="24"/>
        </w:rPr>
      </w:pPr>
    </w:p>
    <w:p w:rsidR="00BD7DD7" w:rsidRDefault="00930FE9">
      <w:pPr>
        <w:spacing w:line="276" w:lineRule="auto"/>
        <w:ind w:firstLine="766"/>
        <w:jc w:val="both"/>
        <w:rPr>
          <w:szCs w:val="24"/>
        </w:rPr>
      </w:pPr>
      <w:r w:rsidR="00A6146C">
        <w:rPr>
          <w:szCs w:val="24"/>
        </w:rPr>
        <w:t>1</w:t>
      </w:r>
      <w:r w:rsidR="00A6146C">
        <w:rPr>
          <w:szCs w:val="24"/>
        </w:rPr>
        <w:t>. Su pažeidimu susijusių netinkamų finansuoti projekto išlaidų apskaičiavimo ir taikymo metodikoje (toliau – Metodika) reglamentuojama netinkamų finansuoti projektų išlaidų (finansinių pataisų), kai nustatytas pažeidimas dėl investicijų tęstinumo reikalavimo nevykdymo ir (arba) su pirkimu susijęs pažeidimas, apskaičiavimo tvarka.</w:t>
      </w:r>
    </w:p>
    <w:p w:rsidR="00BD7DD7" w:rsidRDefault="00930FE9">
      <w:pPr>
        <w:tabs>
          <w:tab w:val="left" w:pos="1800"/>
        </w:tabs>
        <w:spacing w:line="276" w:lineRule="auto"/>
        <w:ind w:firstLine="709"/>
        <w:jc w:val="both"/>
        <w:rPr>
          <w:szCs w:val="24"/>
          <w:lang w:eastAsia="lt-LT"/>
        </w:rPr>
      </w:pPr>
      <w:r w:rsidR="00A6146C">
        <w:rPr>
          <w:szCs w:val="24"/>
          <w:lang w:eastAsia="lt-LT"/>
        </w:rPr>
        <w:t>2</w:t>
      </w:r>
      <w:r w:rsidR="00A6146C">
        <w:rPr>
          <w:szCs w:val="24"/>
          <w:lang w:eastAsia="lt-LT"/>
        </w:rPr>
        <w:t>. Nustačius pažeidimą dėl investicijų tęstinumo reikalavimo neįvykdymo:</w:t>
      </w:r>
    </w:p>
    <w:p w:rsidR="00BD7DD7" w:rsidRDefault="00930FE9">
      <w:pPr>
        <w:tabs>
          <w:tab w:val="left" w:pos="1800"/>
        </w:tabs>
        <w:spacing w:line="276" w:lineRule="auto"/>
        <w:ind w:firstLine="709"/>
        <w:jc w:val="both"/>
        <w:rPr>
          <w:szCs w:val="24"/>
          <w:lang w:eastAsia="lt-LT"/>
        </w:rPr>
      </w:pPr>
      <w:r w:rsidR="00A6146C">
        <w:rPr>
          <w:szCs w:val="24"/>
          <w:lang w:eastAsia="lt-LT"/>
        </w:rPr>
        <w:t>2.1</w:t>
      </w:r>
      <w:r w:rsidR="00A6146C">
        <w:rPr>
          <w:szCs w:val="24"/>
          <w:lang w:eastAsia="lt-LT"/>
        </w:rPr>
        <w:t xml:space="preserve">. </w:t>
      </w:r>
      <w:r w:rsidR="009D2EAA">
        <w:rPr>
          <w:szCs w:val="24"/>
          <w:lang w:eastAsia="lt-LT"/>
        </w:rPr>
        <w:t>Netinkamos finansuoti projekto išlaidos (finansinės pataisos) apskaičiuojamos proporcingai investicijų tęstinumo laikotarpiui (kalendorinėmis dienomis) ir dienoms, likusioms iki šio laikotarpio pabaigos, bei, atsižvelgiant į pažeidimo pobūdį, apskaičiuojamos nuo projektui įgyvendinti, projekto veiklai vykdyti ar sutartyje numatytam turtui įsigyti panaudotos tinkamų finansuoti išlaidų sumos, įvertinus turto nusidėvėjimą, buvusį momentu, kai buvo pažeistas investicijų tęstinumo reikalavimas, pagal formulę:</w:t>
      </w:r>
    </w:p>
    <w:p w:rsidR="00BD7DD7" w:rsidRDefault="00BD7DD7">
      <w:pPr>
        <w:tabs>
          <w:tab w:val="left" w:pos="1800"/>
        </w:tabs>
        <w:spacing w:line="276" w:lineRule="auto"/>
        <w:ind w:firstLine="771"/>
        <w:jc w:val="both"/>
        <w:rPr>
          <w:szCs w:val="24"/>
          <w:lang w:eastAsia="lt-LT"/>
        </w:rPr>
      </w:pPr>
    </w:p>
    <w:p w:rsidR="009D2EAA" w:rsidRDefault="009D2EAA" w:rsidP="009D2EAA">
      <w:pPr>
        <w:tabs>
          <w:tab w:val="left" w:pos="1800"/>
        </w:tabs>
        <w:overflowPunct w:val="0"/>
        <w:spacing w:line="276" w:lineRule="auto"/>
        <w:ind w:firstLine="720"/>
        <w:jc w:val="both"/>
        <w:textAlignment w:val="baseline"/>
        <w:rPr>
          <w:szCs w:val="24"/>
          <w:lang w:eastAsia="lt-LT"/>
        </w:rPr>
      </w:pPr>
      <w:r>
        <w:rPr>
          <w:szCs w:val="24"/>
          <w:lang w:eastAsia="lt-LT"/>
        </w:rPr>
        <w:t xml:space="preserve">NFL  </w:t>
      </w:r>
      <w:r>
        <w:rPr>
          <w:szCs w:val="24"/>
        </w:rPr>
        <w:t xml:space="preserve">= </w:t>
      </w:r>
      <m:oMath>
        <m:f>
          <m:fPr>
            <m:ctrlPr>
              <w:rPr>
                <w:rFonts w:ascii="Cambria Math" w:hAnsi="Cambria Math"/>
                <w:szCs w:val="24"/>
              </w:rPr>
            </m:ctrlPr>
          </m:fPr>
          <m:num>
            <m:r>
              <m:rPr>
                <m:sty m:val="p"/>
              </m:rPr>
              <w:rPr>
                <w:rFonts w:ascii="Cambria Math" w:hAnsi="Cambria Math"/>
                <w:szCs w:val="24"/>
              </w:rPr>
              <m:t xml:space="preserve">Likęs ITL </m:t>
            </m:r>
            <m:d>
              <m:dPr>
                <m:ctrlPr>
                  <w:rPr>
                    <w:rFonts w:ascii="Cambria Math" w:hAnsi="Cambria Math"/>
                    <w:szCs w:val="24"/>
                  </w:rPr>
                </m:ctrlPr>
              </m:dPr>
              <m:e>
                <m:r>
                  <m:rPr>
                    <m:sty m:val="p"/>
                  </m:rPr>
                  <w:rPr>
                    <w:rFonts w:ascii="Cambria Math" w:hAnsi="Cambria Math"/>
                    <w:szCs w:val="24"/>
                  </w:rPr>
                  <m:t>kal.  dienos</m:t>
                </m:r>
              </m:e>
            </m:d>
            <m:r>
              <m:rPr>
                <m:sty m:val="p"/>
              </m:rPr>
              <w:rPr>
                <w:rFonts w:ascii="Cambria Math" w:hAnsi="Cambria Math"/>
                <w:szCs w:val="24"/>
              </w:rPr>
              <m:t xml:space="preserve"> x </m:t>
            </m:r>
            <m:r>
              <m:rPr>
                <m:sty m:val="p"/>
              </m:rPr>
              <w:rPr>
                <w:rFonts w:ascii="Cambria Math" w:hAnsi="Cambria Math"/>
                <w:szCs w:val="24"/>
                <w:lang w:eastAsia="lt-LT"/>
              </w:rPr>
              <m:t>PVTTFIVĮS</m:t>
            </m:r>
            <m:r>
              <m:rPr>
                <m:sty m:val="p"/>
              </m:rPr>
              <w:rPr>
                <w:rFonts w:ascii="Cambria Math" w:hAnsi="Cambria Math"/>
                <w:szCs w:val="24"/>
              </w:rPr>
              <m:t xml:space="preserve"> </m:t>
            </m:r>
          </m:num>
          <m:den>
            <m:r>
              <m:rPr>
                <m:sty m:val="p"/>
              </m:rPr>
              <w:rPr>
                <w:rFonts w:ascii="Cambria Math" w:hAnsi="Cambria Math"/>
                <w:szCs w:val="24"/>
              </w:rPr>
              <m:t>Visas ITL (kal.  dienos)</m:t>
            </m:r>
          </m:den>
        </m:f>
      </m:oMath>
      <w:r>
        <w:rPr>
          <w:szCs w:val="24"/>
          <w:lang w:eastAsia="lt-LT"/>
        </w:rPr>
        <w:t>, čia:</w:t>
      </w:r>
    </w:p>
    <w:p w:rsidR="00BD7DD7" w:rsidRDefault="00BD7DD7">
      <w:pPr>
        <w:tabs>
          <w:tab w:val="left" w:pos="1800"/>
        </w:tabs>
        <w:spacing w:line="276" w:lineRule="auto"/>
        <w:ind w:firstLine="771"/>
        <w:jc w:val="both"/>
        <w:rPr>
          <w:szCs w:val="24"/>
          <w:lang w:eastAsia="lt-LT"/>
        </w:rPr>
      </w:pPr>
    </w:p>
    <w:p w:rsidR="00BD7DD7" w:rsidRDefault="009D2EAA">
      <w:pPr>
        <w:tabs>
          <w:tab w:val="left" w:pos="1800"/>
        </w:tabs>
        <w:spacing w:line="276" w:lineRule="auto"/>
        <w:ind w:firstLine="709"/>
        <w:jc w:val="both"/>
        <w:rPr>
          <w:szCs w:val="24"/>
          <w:lang w:eastAsia="lt-LT"/>
        </w:rPr>
      </w:pPr>
      <w:r>
        <w:rPr>
          <w:szCs w:val="24"/>
          <w:lang w:eastAsia="lt-LT"/>
        </w:rPr>
        <w:t>NFL – netinkamos finansuoti projekto išlaidos, eurais.</w:t>
      </w:r>
    </w:p>
    <w:p w:rsidR="00BD7DD7" w:rsidRDefault="009D2EAA">
      <w:pPr>
        <w:tabs>
          <w:tab w:val="left" w:pos="1800"/>
        </w:tabs>
        <w:spacing w:line="276" w:lineRule="auto"/>
        <w:ind w:firstLine="709"/>
        <w:jc w:val="both"/>
        <w:rPr>
          <w:szCs w:val="24"/>
          <w:lang w:eastAsia="lt-LT"/>
        </w:rPr>
      </w:pPr>
      <w:r>
        <w:rPr>
          <w:szCs w:val="24"/>
          <w:lang w:eastAsia="lt-LT"/>
        </w:rPr>
        <w:t>ITL – investicijų tęstinumo laikotarpis, kalendorinėmis dienomis.</w:t>
      </w:r>
    </w:p>
    <w:p w:rsidR="00BD7DD7" w:rsidRDefault="009D2EAA">
      <w:pPr>
        <w:tabs>
          <w:tab w:val="left" w:pos="1800"/>
        </w:tabs>
        <w:spacing w:line="276" w:lineRule="auto"/>
        <w:ind w:firstLine="709"/>
        <w:jc w:val="both"/>
        <w:rPr>
          <w:szCs w:val="24"/>
          <w:lang w:eastAsia="lt-LT"/>
        </w:rPr>
      </w:pPr>
      <w:r>
        <w:rPr>
          <w:szCs w:val="24"/>
          <w:lang w:eastAsia="lt-LT"/>
        </w:rPr>
        <w:t>PVTTFIVĮS</w:t>
      </w:r>
      <w:r w:rsidR="00A6146C">
        <w:rPr>
          <w:szCs w:val="24"/>
          <w:lang w:eastAsia="lt-LT"/>
        </w:rPr>
        <w:t xml:space="preserve"> – </w:t>
      </w:r>
      <w:r>
        <w:rPr>
          <w:szCs w:val="24"/>
          <w:lang w:eastAsia="lt-LT"/>
        </w:rPr>
        <w:t xml:space="preserve">projektui įgyvendinti, veiklai vykdyti ar projekto turtui įsigyti panaudoto tinkamoms finansuoti išlaidoms suteikto viešojo įnašo lėšų suma, įvertinus turto nusidėvėjimą pagal   paramos gavėjo nustatytą apskaitos politiką, buvusią momentu, kai buvo pažeistas investicijų </w:t>
      </w:r>
      <w:r>
        <w:rPr>
          <w:szCs w:val="24"/>
          <w:lang w:eastAsia="lt-LT"/>
        </w:rPr>
        <w:t>tęstinumo reikalavimas, eurais.</w:t>
      </w:r>
    </w:p>
    <w:p w:rsidR="00930FE9" w:rsidRDefault="00930FE9">
      <w:pPr>
        <w:tabs>
          <w:tab w:val="left" w:pos="1800"/>
        </w:tabs>
        <w:spacing w:line="276" w:lineRule="auto"/>
        <w:ind w:firstLine="709"/>
        <w:jc w:val="both"/>
        <w:rPr>
          <w:szCs w:val="24"/>
          <w:lang w:eastAsia="lt-LT"/>
        </w:rPr>
      </w:pPr>
      <w:r w:rsidR="00A6146C">
        <w:rPr>
          <w:szCs w:val="24"/>
          <w:lang w:eastAsia="lt-LT"/>
        </w:rPr>
        <w:t>2.2</w:t>
      </w:r>
      <w:r w:rsidR="00A6146C">
        <w:rPr>
          <w:szCs w:val="24"/>
          <w:lang w:eastAsia="lt-LT"/>
        </w:rPr>
        <w:t>. Kai neįmanoma nustatyti tikslios datos, kada buvo pažeistas reikalavimas dėl investicijų tęstinumo, netinkamos finansuoti projekto išlaidos apskaičiuojamos atsižvelgiant į žinomą kiek įmanoma tikslesnį laikotarpį, kurį investicijų tęstinumo reikalavimas buvo pažeistas (pvz., savaitė, mėnuo, metai), pvz., NFL = likęs ITL (mėnesiai) × PVTTFIVĮS / visas ITL (mėnesiai).</w:t>
      </w:r>
    </w:p>
    <w:p w:rsidR="00BD7DD7" w:rsidRDefault="00930FE9">
      <w:pPr>
        <w:tabs>
          <w:tab w:val="left" w:pos="1800"/>
        </w:tabs>
        <w:spacing w:line="276" w:lineRule="auto"/>
        <w:ind w:firstLine="709"/>
        <w:jc w:val="both"/>
        <w:rPr>
          <w:szCs w:val="24"/>
          <w:lang w:eastAsia="lt-LT"/>
        </w:rPr>
      </w:pPr>
      <w:r>
        <w:rPr>
          <w:szCs w:val="24"/>
          <w:lang w:eastAsia="lt-LT"/>
        </w:rPr>
        <w:t>2.3</w:t>
      </w:r>
      <w:r>
        <w:rPr>
          <w:szCs w:val="24"/>
          <w:lang w:eastAsia="lt-LT"/>
        </w:rPr>
        <w:t>. Kai pažeidimas susijęs su projekto turtu, kurio nusidėvėjimo trukmė yra trumpesnė už projekto sutartyje nustatytą investicijų tęstinumo laikotarpį, apskaičiuojant netinkamas finansuoti projekto išlaidas, atsižvelgiama ne į investicijų tęstinumo laikotarpį, bet į turto nusidėvėjimo trukmę.</w:t>
      </w:r>
    </w:p>
    <w:p w:rsidR="00BD7DD7" w:rsidRDefault="00930FE9">
      <w:pPr>
        <w:tabs>
          <w:tab w:val="left" w:pos="1800"/>
        </w:tabs>
        <w:spacing w:line="276" w:lineRule="auto"/>
        <w:ind w:firstLine="709"/>
        <w:jc w:val="both"/>
        <w:rPr>
          <w:szCs w:val="24"/>
          <w:lang w:eastAsia="lt-LT"/>
        </w:rPr>
      </w:pPr>
      <w:r w:rsidR="00A6146C">
        <w:rPr>
          <w:szCs w:val="24"/>
          <w:lang w:eastAsia="lt-LT"/>
        </w:rPr>
        <w:t>3</w:t>
      </w:r>
      <w:r w:rsidR="00A6146C">
        <w:rPr>
          <w:szCs w:val="24"/>
          <w:lang w:eastAsia="lt-LT"/>
        </w:rPr>
        <w:t>. Nustačius su pirkimu susijusį pažeidimą:</w:t>
      </w:r>
    </w:p>
    <w:p w:rsidR="00BD7DD7" w:rsidRDefault="00930FE9">
      <w:pPr>
        <w:tabs>
          <w:tab w:val="left" w:pos="1800"/>
        </w:tabs>
        <w:spacing w:line="276" w:lineRule="auto"/>
        <w:ind w:firstLine="709"/>
        <w:jc w:val="both"/>
        <w:rPr>
          <w:szCs w:val="24"/>
          <w:lang w:eastAsia="lt-LT"/>
        </w:rPr>
      </w:pPr>
      <w:r w:rsidR="00A6146C">
        <w:rPr>
          <w:szCs w:val="24"/>
          <w:lang w:eastAsia="lt-LT"/>
        </w:rPr>
        <w:t>3.1</w:t>
      </w:r>
      <w:r w:rsidR="00A6146C">
        <w:rPr>
          <w:szCs w:val="24"/>
          <w:lang w:eastAsia="lt-LT"/>
        </w:rPr>
        <w:t>. Kai pažeidimas nustatytas subjektui, kuris nėra perkančioji organizacija pagal Lietuvos Respublikos viešųjų pirkimų įstatymo reikalavimus (toliau – NPO), atliekant pirkimą, netinkamos finansuoti projekto išlaidos (finansinės pataisos) apskaičiuojamos vadovaujantis Europos Komisijos 2019 m. gegužės 14 d. sprendimu Nr. C(2019) 3452, kuriuo nustatomos su Sąjungos finansuotomis išlaidomis susijusių finansinių pataisų, kurias reikia atlikti dėl taikytinų viešųjų pirkimų taisyklių nesilaikymo, nustatymo gairės (toliau – 2019 m. gairės) pagal Metodikos 6 punkte pateiktą detalizavimą .</w:t>
      </w:r>
    </w:p>
    <w:p w:rsidR="00BD7DD7" w:rsidRDefault="00930FE9">
      <w:pPr>
        <w:tabs>
          <w:tab w:val="left" w:pos="1800"/>
        </w:tabs>
        <w:spacing w:line="276" w:lineRule="auto"/>
        <w:ind w:firstLine="709"/>
        <w:jc w:val="both"/>
        <w:rPr>
          <w:szCs w:val="24"/>
          <w:lang w:eastAsia="lt-LT"/>
        </w:rPr>
      </w:pPr>
      <w:r w:rsidR="00A6146C">
        <w:rPr>
          <w:szCs w:val="24"/>
          <w:lang w:eastAsia="lt-LT"/>
        </w:rPr>
        <w:t>3.2</w:t>
      </w:r>
      <w:r w:rsidR="00A6146C">
        <w:rPr>
          <w:szCs w:val="24"/>
          <w:lang w:eastAsia="lt-LT"/>
        </w:rPr>
        <w:t xml:space="preserve">. </w:t>
      </w:r>
      <w:r>
        <w:rPr>
          <w:rFonts w:eastAsia="MS Mincho"/>
          <w:szCs w:val="24"/>
          <w:lang w:eastAsia="lt-LT"/>
        </w:rPr>
        <w:t xml:space="preserve">Kai pažeidimas nustatytas subjektui, kuris yra perkančioji organizacija pagal Viešųjų pirkimų įstatymo reikalavimus, atliekant pirkimą, kuriam taikomas ar iš dalies taikomas Viešųjų pirkimų įstatymas arba kuriam jis netaikomas šiame įstatyme nustatytais atvejais, </w:t>
      </w:r>
      <w:r>
        <w:rPr>
          <w:szCs w:val="24"/>
          <w:lang w:eastAsia="lt-LT"/>
        </w:rPr>
        <w:t>kai a</w:t>
      </w:r>
      <w:r>
        <w:rPr>
          <w:rFonts w:eastAsia="MS Mincho"/>
          <w:szCs w:val="24"/>
          <w:lang w:eastAsia="lt-LT"/>
        </w:rPr>
        <w:t xml:space="preserve">tliekant pirkimą iš centrinės perkančiosios organizacijos (toliau – CPO) ar per ją, vadovaujantis Viešųjų pirkimų </w:t>
      </w:r>
      <w:r>
        <w:rPr>
          <w:szCs w:val="24"/>
          <w:lang w:eastAsia="lt-LT"/>
        </w:rPr>
        <w:t xml:space="preserve">įstatymo </w:t>
      </w:r>
      <w:r>
        <w:rPr>
          <w:rFonts w:eastAsia="MS Mincho"/>
          <w:szCs w:val="24"/>
          <w:lang w:eastAsia="lt-LT"/>
        </w:rPr>
        <w:t>82 straipsnio nuostatomis, kai šie pirkimai atlikti vadovaujantis Viešųjų pirkimų įstatymo redakcija, galiojusia nuo 2017 m. liepos 1 d., taip pat nustačius draudžiamąjį pirkimo sutarties pakeitimą, atliktą galiojant Viešųjų pirkimų įstatymo redakcijoms nuo 2017 m. liepos 1 d., netinkamos finansuoti projekto išlaidos</w:t>
      </w:r>
      <w:r>
        <w:rPr>
          <w:szCs w:val="24"/>
          <w:lang w:eastAsia="lt-LT"/>
        </w:rPr>
        <w:t xml:space="preserve"> (finansinės pataisos)</w:t>
      </w:r>
      <w:r>
        <w:rPr>
          <w:rFonts w:eastAsia="MS Mincho"/>
          <w:szCs w:val="24"/>
          <w:lang w:eastAsia="lt-LT"/>
        </w:rPr>
        <w:t xml:space="preserve"> apskaičiuojamos vadovaujantis 2019 m. gairėmis</w:t>
      </w:r>
      <w:r>
        <w:rPr>
          <w:szCs w:val="24"/>
          <w:lang w:eastAsia="lt-LT"/>
        </w:rPr>
        <w:t>.</w:t>
      </w:r>
    </w:p>
    <w:p w:rsidR="00BD7DD7" w:rsidRDefault="00930FE9">
      <w:pPr>
        <w:tabs>
          <w:tab w:val="left" w:pos="1800"/>
        </w:tabs>
        <w:spacing w:line="276" w:lineRule="auto"/>
        <w:ind w:firstLine="709"/>
        <w:jc w:val="both"/>
        <w:rPr>
          <w:szCs w:val="24"/>
          <w:lang w:eastAsia="lt-LT"/>
        </w:rPr>
      </w:pPr>
      <w:r w:rsidR="00A6146C">
        <w:rPr>
          <w:szCs w:val="24"/>
          <w:lang w:eastAsia="lt-LT"/>
        </w:rPr>
        <w:t>3.3</w:t>
      </w:r>
      <w:r w:rsidR="00A6146C">
        <w:rPr>
          <w:szCs w:val="24"/>
          <w:lang w:eastAsia="lt-LT"/>
        </w:rPr>
        <w:t xml:space="preserve">. </w:t>
      </w:r>
      <w:r>
        <w:rPr>
          <w:rFonts w:eastAsia="MS Mincho"/>
          <w:szCs w:val="24"/>
          <w:lang w:eastAsia="lt-LT"/>
        </w:rPr>
        <w:t>Kai pažeidimas nustatytas subjektui, kuris yra perkančioji organizacija pagal Viešųjų pirkimų įstatymo reikalavimus, atliekant pirkimą, kuriam taikomas ar iš dalies taikomas Viešųjų pirkimų įstatymas arba kuriam jis netaikomas šiame įstatyme nustatytais atvejais, atliekant pirkimą iš CPO ar per ją, kai šie pirkimai atlikti vadovaujantis Viešųjų pirkimų įstatymo redakcija, galiojusia iki 2017 m. birželio 30 d., taip pat nustačius draudžiamąjį pirkimo sutarties pakeitimą, atliktą galiojant Viešųjų pirkimų įstatymo redakcijoms iki 2017 m. birželio 30 d.,</w:t>
      </w:r>
      <w:r>
        <w:rPr>
          <w:rFonts w:eastAsia="MS Mincho"/>
          <w:color w:val="FF0000"/>
        </w:rPr>
        <w:t xml:space="preserve"> </w:t>
      </w:r>
      <w:r>
        <w:rPr>
          <w:rFonts w:eastAsia="MS Mincho"/>
          <w:szCs w:val="24"/>
          <w:lang w:eastAsia="lt-LT"/>
        </w:rPr>
        <w:t>netinkamos finansuoti projekto išlaidos apskaičiuojamos vadovaujantis Europos Komisijos 2013 m. gruodžio 19 d. sprendimu Nr. C(2013) 9527, kuriuo išdėstomos ir patvirtinamos finansinių pataisų, susijusių su išlaidomis, Sąjungos finansuotomis pagal pasidalijamąjį valdymą, kurias dėl viešojo pirkimo taisyklių nesilaikymo turi atlikti Komisija, nustatymo gairės (toliau – 2013 m. gairės</w:t>
      </w:r>
      <w:r>
        <w:rPr>
          <w:szCs w:val="24"/>
          <w:lang w:eastAsia="lt-LT"/>
        </w:rPr>
        <w:t>).</w:t>
      </w:r>
    </w:p>
    <w:p w:rsidR="00BD7DD7" w:rsidRDefault="00930FE9">
      <w:pPr>
        <w:tabs>
          <w:tab w:val="left" w:pos="1800"/>
        </w:tabs>
        <w:spacing w:line="276" w:lineRule="auto"/>
        <w:ind w:firstLine="709"/>
        <w:jc w:val="both"/>
        <w:rPr>
          <w:szCs w:val="24"/>
          <w:lang w:eastAsia="lt-LT"/>
        </w:rPr>
      </w:pPr>
      <w:r w:rsidR="00A6146C">
        <w:rPr>
          <w:szCs w:val="24"/>
          <w:lang w:eastAsia="lt-LT"/>
        </w:rPr>
        <w:t>3.4</w:t>
      </w:r>
      <w:r w:rsidR="00A6146C">
        <w:rPr>
          <w:szCs w:val="24"/>
          <w:lang w:eastAsia="lt-LT"/>
        </w:rPr>
        <w:t xml:space="preserve">. </w:t>
      </w:r>
      <w:r>
        <w:rPr>
          <w:szCs w:val="24"/>
          <w:lang w:eastAsia="lt-LT"/>
        </w:rPr>
        <w:t xml:space="preserve">2019 m. gairės ir 2013 m. gairės (toliau – Gairės) skelbiamos interneto svetainėje </w:t>
      </w:r>
      <w:r>
        <w:rPr>
          <w:i/>
          <w:szCs w:val="24"/>
          <w:lang w:eastAsia="lt-LT"/>
        </w:rPr>
        <w:t>www.paramazuvininkystei.lt.</w:t>
      </w:r>
    </w:p>
    <w:bookmarkStart w:id="0" w:name="_GoBack" w:displacedByCustomXml="next"/>
    <w:bookmarkEnd w:id="0" w:displacedByCustomXml="next"/>
    <w:p w:rsidR="00BD7DD7" w:rsidRDefault="00930FE9">
      <w:pPr>
        <w:tabs>
          <w:tab w:val="left" w:pos="1800"/>
        </w:tabs>
        <w:spacing w:line="276" w:lineRule="auto"/>
        <w:ind w:firstLine="709"/>
        <w:jc w:val="both"/>
        <w:rPr>
          <w:color w:val="000000"/>
          <w:szCs w:val="24"/>
          <w:lang w:eastAsia="lt-LT"/>
        </w:rPr>
      </w:pPr>
      <w:r w:rsidR="00A6146C">
        <w:rPr>
          <w:color w:val="000000"/>
          <w:szCs w:val="24"/>
          <w:lang w:eastAsia="lt-LT"/>
        </w:rPr>
        <w:t>4</w:t>
      </w:r>
      <w:r w:rsidR="00A6146C">
        <w:rPr>
          <w:color w:val="000000"/>
          <w:szCs w:val="24"/>
          <w:lang w:eastAsia="lt-LT"/>
        </w:rPr>
        <w:t>. Gairėse ar Metodikos 5 punkte nustatyta netinkamų finansuoti išlaidų (finansinių pataisų) apskaičiavimo norma, atsižvelgiant į pažeidimo pobūdį, taikoma proporcingai pagal pirkimo sutartį arba jos dalį (jei pirkimo sutartis apima ir kitus, projekto lėšomis nefinansuojamus, objektus arba pažeidimas turėjo įtakos tik daliai pirkimo sutarties vertės) paramos gavėjo patirtoms ir planuojamoms patirti išlaidoms pagal konkrečią pirkimo sutartį:</w:t>
      </w:r>
    </w:p>
    <w:p w:rsidR="00BD7DD7" w:rsidRDefault="00930FE9">
      <w:pPr>
        <w:tabs>
          <w:tab w:val="left" w:pos="1800"/>
        </w:tabs>
        <w:spacing w:line="276" w:lineRule="auto"/>
        <w:ind w:firstLine="709"/>
        <w:jc w:val="both"/>
        <w:rPr>
          <w:color w:val="000000"/>
          <w:szCs w:val="24"/>
          <w:lang w:eastAsia="lt-LT"/>
        </w:rPr>
      </w:pPr>
      <w:r w:rsidR="00A6146C">
        <w:rPr>
          <w:color w:val="000000"/>
          <w:szCs w:val="24"/>
          <w:lang w:eastAsia="lt-LT"/>
        </w:rPr>
        <w:t>4.1</w:t>
      </w:r>
      <w:r w:rsidR="00A6146C">
        <w:rPr>
          <w:color w:val="000000"/>
          <w:szCs w:val="24"/>
          <w:lang w:eastAsia="lt-LT"/>
        </w:rPr>
        <w:t xml:space="preserve">. Kai dėl nustatyto pažeidimo pagal Gaires ar Metodikos 5 punktą galėtų būti taikomos skirtingos netinkamų finansuoti išlaidų (finansinių pataisų) apskaičiavimo normos, dėl atitinkamos normos taikymo, laikantis proporcingumo principo, sprendžiama atsižvelgiant į pažeidimo pobūdį ir įvertinant su juo susijusias aplinkybes: </w:t>
      </w:r>
    </w:p>
    <w:p w:rsidR="00BD7DD7" w:rsidRDefault="00930FE9">
      <w:pPr>
        <w:tabs>
          <w:tab w:val="left" w:pos="1800"/>
        </w:tabs>
        <w:spacing w:line="276" w:lineRule="auto"/>
        <w:ind w:firstLine="709"/>
        <w:jc w:val="both"/>
        <w:rPr>
          <w:color w:val="000000"/>
          <w:szCs w:val="24"/>
          <w:lang w:eastAsia="lt-LT"/>
        </w:rPr>
      </w:pPr>
      <w:r w:rsidR="00A6146C">
        <w:rPr>
          <w:color w:val="000000"/>
          <w:szCs w:val="24"/>
          <w:lang w:eastAsia="lt-LT"/>
        </w:rPr>
        <w:t>4.1.1</w:t>
      </w:r>
      <w:r w:rsidR="00A6146C">
        <w:rPr>
          <w:color w:val="000000"/>
          <w:szCs w:val="24"/>
          <w:lang w:eastAsia="lt-LT"/>
        </w:rPr>
        <w:t>. ar pirkimas (išskyrus tarptautinį pirkimą) nekelia tarptautinio susidomėjimo (pvz., vertinama, ar kitose valstybėse narėse esantys ūkio subjektai siekė pateikti pasiūlymą dėl pirkimo, arba, kai apie tai nėra duomenų, vertinama, ar tokie ūkio subjektai dalyvavo vykdant panašius pirkimus (vadovaujantis turima informacija apie analogiškus projektus) ir kt.);</w:t>
      </w:r>
    </w:p>
    <w:p w:rsidR="00BD7DD7" w:rsidRDefault="00930FE9">
      <w:pPr>
        <w:tabs>
          <w:tab w:val="left" w:pos="1800"/>
        </w:tabs>
        <w:spacing w:line="276" w:lineRule="auto"/>
        <w:ind w:firstLine="709"/>
        <w:jc w:val="both"/>
        <w:rPr>
          <w:color w:val="000000"/>
          <w:szCs w:val="24"/>
          <w:lang w:eastAsia="lt-LT"/>
        </w:rPr>
      </w:pPr>
      <w:r w:rsidR="00A6146C">
        <w:rPr>
          <w:color w:val="000000"/>
          <w:szCs w:val="24"/>
          <w:lang w:eastAsia="lt-LT"/>
        </w:rPr>
        <w:t>4.1.2</w:t>
      </w:r>
      <w:r w:rsidR="00A6146C">
        <w:rPr>
          <w:color w:val="000000"/>
          <w:szCs w:val="24"/>
          <w:lang w:eastAsia="lt-LT"/>
        </w:rPr>
        <w:t>. ar nebuvo neteisėtai ribojama rangovų, prekių tiekėjų ir (ar) paslaugų teikėjų konkurencija (pvz., vertinama, ar sudarytos sąlygos potencialiam rangovui, prekių tiekėjui ir (ar) paslaugų teikėjui pateikti pasiūlymą, pateiktų pasiūlymų skaičius ir kt.);</w:t>
      </w:r>
    </w:p>
    <w:p w:rsidR="00BD7DD7" w:rsidRDefault="00930FE9">
      <w:pPr>
        <w:tabs>
          <w:tab w:val="left" w:pos="1800"/>
        </w:tabs>
        <w:spacing w:line="276" w:lineRule="auto"/>
        <w:ind w:firstLine="709"/>
        <w:jc w:val="both"/>
        <w:rPr>
          <w:color w:val="000000"/>
          <w:szCs w:val="24"/>
          <w:lang w:eastAsia="lt-LT"/>
        </w:rPr>
      </w:pPr>
      <w:r w:rsidR="00A6146C">
        <w:rPr>
          <w:color w:val="000000"/>
          <w:szCs w:val="24"/>
          <w:lang w:eastAsia="lt-LT"/>
        </w:rPr>
        <w:t>4.1.3</w:t>
      </w:r>
      <w:r w:rsidR="00A6146C">
        <w:rPr>
          <w:color w:val="000000"/>
          <w:szCs w:val="24"/>
          <w:lang w:eastAsia="lt-LT"/>
        </w:rPr>
        <w:t>. ar dėl nustatytų diskriminuojančių reikalavimų nebuvo atmesta pasiūlymų;</w:t>
      </w:r>
    </w:p>
    <w:p w:rsidR="00BD7DD7" w:rsidRDefault="00930FE9">
      <w:pPr>
        <w:tabs>
          <w:tab w:val="left" w:pos="1800"/>
        </w:tabs>
        <w:spacing w:line="276" w:lineRule="auto"/>
        <w:ind w:firstLine="709"/>
        <w:jc w:val="both"/>
        <w:rPr>
          <w:color w:val="000000"/>
          <w:szCs w:val="24"/>
          <w:lang w:eastAsia="lt-LT"/>
        </w:rPr>
      </w:pPr>
      <w:r w:rsidR="00A6146C">
        <w:rPr>
          <w:color w:val="000000"/>
          <w:szCs w:val="24"/>
          <w:lang w:eastAsia="lt-LT"/>
        </w:rPr>
        <w:t>4.1.4</w:t>
      </w:r>
      <w:r w:rsidR="00A6146C">
        <w:rPr>
          <w:color w:val="000000"/>
          <w:szCs w:val="24"/>
          <w:lang w:eastAsia="lt-LT"/>
        </w:rPr>
        <w:t>. ar yra kitų, atsižvelgiant į taikytinų teisės normų pažeidimo pobūdį ir sunkumą, laikantis proporcingumo principo, Nacionalinės mokėjimo agentūros prie Žemės ūkio ministerijos nustatytų aplinkybių (pretenzijų ir skundų nebuvimas savaime nėra lengvinanti aplinkybė).</w:t>
      </w:r>
    </w:p>
    <w:p w:rsidR="00BD7DD7" w:rsidRDefault="00930FE9">
      <w:pPr>
        <w:tabs>
          <w:tab w:val="left" w:pos="1800"/>
        </w:tabs>
        <w:spacing w:line="276" w:lineRule="auto"/>
        <w:ind w:firstLine="709"/>
        <w:jc w:val="both"/>
        <w:rPr>
          <w:color w:val="000000"/>
          <w:szCs w:val="24"/>
          <w:lang w:eastAsia="lt-LT"/>
        </w:rPr>
      </w:pPr>
      <w:r w:rsidR="00A6146C">
        <w:rPr>
          <w:color w:val="000000"/>
          <w:szCs w:val="24"/>
          <w:lang w:eastAsia="lt-LT"/>
        </w:rPr>
        <w:t>4.2</w:t>
      </w:r>
      <w:r w:rsidR="00A6146C">
        <w:rPr>
          <w:color w:val="000000"/>
          <w:szCs w:val="24"/>
          <w:lang w:eastAsia="lt-LT"/>
        </w:rPr>
        <w:t>. Kai dėl to paties pirkimo nustatomi keli pažeidimai, pirkimui taikomuose Gairių punktuose ar Metodikos 5 punkte nurodytos dėl atitinkamo pažeidimo taikytinos netinkamų finansuoti išlaidų (finansinių pataisų) apskaičiavimo normos nesumuojamos, o taikoma didžiausia iš jų.</w:t>
      </w:r>
    </w:p>
    <w:p w:rsidR="00BD7DD7" w:rsidRDefault="00930FE9">
      <w:pPr>
        <w:tabs>
          <w:tab w:val="left" w:pos="1800"/>
        </w:tabs>
        <w:spacing w:line="276" w:lineRule="auto"/>
        <w:ind w:firstLine="709"/>
        <w:jc w:val="both"/>
        <w:rPr>
          <w:color w:val="000000"/>
          <w:szCs w:val="24"/>
          <w:lang w:eastAsia="lt-LT"/>
        </w:rPr>
      </w:pPr>
      <w:r w:rsidR="00A6146C">
        <w:rPr>
          <w:color w:val="000000"/>
          <w:szCs w:val="24"/>
          <w:lang w:eastAsia="lt-LT"/>
        </w:rPr>
        <w:t>4.3</w:t>
      </w:r>
      <w:r w:rsidR="00A6146C">
        <w:rPr>
          <w:color w:val="000000"/>
          <w:szCs w:val="24"/>
          <w:lang w:eastAsia="lt-LT"/>
        </w:rPr>
        <w:t>. Jei atliekant atnaujintą pažeidimo tyrimą nustatomas (-i) naujas (-i) su pirkimu susijęs (-ę) pažeidimas (-ai), įvertinus su nauju (-ais) pažeidimu (-ais) susijusias aplinkybes, sprendime dėl pažeidimo nurodyta netinkamų finansuoti išlaidų (finansinių pataisų) apskaičiavimo norma gali būti padidinta iki Gairėse ar Metodikos 5 punkte nurodytos pažeidimui taikomos didžiausios netinkamų finansuoti išlaidų (finansinių pataisų) apskaičiavimo normos.</w:t>
      </w:r>
    </w:p>
    <w:p w:rsidR="00BD7DD7" w:rsidRDefault="00930FE9">
      <w:pPr>
        <w:spacing w:line="276" w:lineRule="auto"/>
        <w:ind w:firstLine="709"/>
        <w:jc w:val="both"/>
        <w:rPr>
          <w:szCs w:val="24"/>
          <w:lang w:eastAsia="lt-LT"/>
        </w:rPr>
      </w:pPr>
      <w:r w:rsidR="00A6146C">
        <w:rPr>
          <w:color w:val="000000"/>
          <w:szCs w:val="24"/>
          <w:lang w:eastAsia="lt-LT"/>
        </w:rPr>
        <w:t>5</w:t>
      </w:r>
      <w:r w:rsidR="00A6146C">
        <w:rPr>
          <w:color w:val="000000"/>
          <w:szCs w:val="24"/>
          <w:lang w:eastAsia="lt-LT"/>
        </w:rPr>
        <w:t xml:space="preserve">. </w:t>
      </w:r>
      <w:r w:rsidR="00A6146C">
        <w:rPr>
          <w:szCs w:val="24"/>
          <w:lang w:eastAsia="lt-LT"/>
        </w:rPr>
        <w:t>Nustačius su pirkimu susijusį pažeidimą, padarytą NPO, netinkamos finansuoti projekto išlaidos (finansinės pataisos) apskaičiuojamos taip:</w:t>
      </w:r>
    </w:p>
    <w:p w:rsidR="00BD7DD7" w:rsidRDefault="00BD7DD7">
      <w:pPr>
        <w:spacing w:line="276" w:lineRule="auto"/>
        <w:ind w:firstLine="709"/>
        <w:jc w:val="both"/>
        <w:rPr>
          <w:color w:val="000000"/>
          <w:szCs w:val="24"/>
          <w:lang w:eastAsia="lt-LT"/>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92"/>
        <w:gridCol w:w="1794"/>
        <w:gridCol w:w="4017"/>
        <w:gridCol w:w="1915"/>
        <w:gridCol w:w="10"/>
      </w:tblGrid>
      <w:tr w:rsidR="00BD7DD7">
        <w:trPr>
          <w:gridAfter w:val="1"/>
          <w:wAfter w:w="10" w:type="dxa"/>
        </w:trPr>
        <w:tc>
          <w:tcPr>
            <w:tcW w:w="555" w:type="dxa"/>
          </w:tcPr>
          <w:p w:rsidR="00BD7DD7" w:rsidRDefault="00A6146C">
            <w:pPr>
              <w:jc w:val="center"/>
              <w:rPr>
                <w:b/>
                <w:bCs/>
                <w:szCs w:val="24"/>
              </w:rPr>
            </w:pPr>
            <w:r>
              <w:rPr>
                <w:b/>
                <w:bCs/>
                <w:szCs w:val="24"/>
              </w:rPr>
              <w:t>Nr.</w:t>
            </w:r>
          </w:p>
        </w:tc>
        <w:tc>
          <w:tcPr>
            <w:tcW w:w="2192" w:type="dxa"/>
          </w:tcPr>
          <w:p w:rsidR="00BD7DD7" w:rsidRDefault="00A6146C">
            <w:pPr>
              <w:jc w:val="center"/>
              <w:rPr>
                <w:b/>
                <w:bCs/>
                <w:szCs w:val="24"/>
              </w:rPr>
            </w:pPr>
            <w:r>
              <w:rPr>
                <w:b/>
                <w:bCs/>
                <w:szCs w:val="24"/>
              </w:rPr>
              <w:t>Pažeidimo rūšis</w:t>
            </w:r>
          </w:p>
        </w:tc>
        <w:tc>
          <w:tcPr>
            <w:tcW w:w="1794" w:type="dxa"/>
          </w:tcPr>
          <w:p w:rsidR="00BD7DD7" w:rsidRDefault="00A6146C">
            <w:pPr>
              <w:jc w:val="center"/>
              <w:rPr>
                <w:b/>
                <w:bCs/>
                <w:szCs w:val="24"/>
              </w:rPr>
            </w:pPr>
            <w:r>
              <w:rPr>
                <w:b/>
                <w:bCs/>
                <w:szCs w:val="24"/>
              </w:rPr>
              <w:t>Taikomi teisės aktai</w:t>
            </w:r>
          </w:p>
        </w:tc>
        <w:tc>
          <w:tcPr>
            <w:tcW w:w="4018" w:type="dxa"/>
          </w:tcPr>
          <w:p w:rsidR="00BD7DD7" w:rsidRDefault="00A6146C">
            <w:pPr>
              <w:jc w:val="center"/>
              <w:rPr>
                <w:b/>
                <w:bCs/>
                <w:szCs w:val="24"/>
              </w:rPr>
            </w:pPr>
            <w:r>
              <w:rPr>
                <w:b/>
                <w:bCs/>
                <w:szCs w:val="24"/>
              </w:rPr>
              <w:t>Pažeidimo aprašymas</w:t>
            </w:r>
          </w:p>
        </w:tc>
        <w:tc>
          <w:tcPr>
            <w:tcW w:w="1915" w:type="dxa"/>
          </w:tcPr>
          <w:p w:rsidR="00BD7DD7" w:rsidRDefault="00A6146C">
            <w:pPr>
              <w:jc w:val="center"/>
              <w:rPr>
                <w:b/>
                <w:bCs/>
                <w:szCs w:val="24"/>
              </w:rPr>
            </w:pPr>
            <w:r>
              <w:rPr>
                <w:b/>
                <w:bCs/>
                <w:szCs w:val="24"/>
              </w:rPr>
              <w:t>Finansinės pataisos norma</w:t>
            </w:r>
          </w:p>
        </w:tc>
      </w:tr>
      <w:tr w:rsidR="00BD7DD7">
        <w:trPr>
          <w:gridAfter w:val="1"/>
          <w:wAfter w:w="10" w:type="dxa"/>
        </w:trPr>
        <w:tc>
          <w:tcPr>
            <w:tcW w:w="555" w:type="dxa"/>
          </w:tcPr>
          <w:p w:rsidR="00BD7DD7" w:rsidRDefault="00A6146C">
            <w:pPr>
              <w:jc w:val="center"/>
              <w:rPr>
                <w:szCs w:val="24"/>
              </w:rPr>
            </w:pPr>
            <w:r>
              <w:rPr>
                <w:szCs w:val="24"/>
              </w:rPr>
              <w:t>1</w:t>
            </w:r>
          </w:p>
        </w:tc>
        <w:tc>
          <w:tcPr>
            <w:tcW w:w="2192" w:type="dxa"/>
          </w:tcPr>
          <w:p w:rsidR="00BD7DD7" w:rsidRDefault="00A6146C">
            <w:pPr>
              <w:jc w:val="center"/>
              <w:rPr>
                <w:szCs w:val="24"/>
              </w:rPr>
            </w:pPr>
            <w:r>
              <w:rPr>
                <w:szCs w:val="24"/>
              </w:rPr>
              <w:t>2</w:t>
            </w:r>
          </w:p>
        </w:tc>
        <w:tc>
          <w:tcPr>
            <w:tcW w:w="1794" w:type="dxa"/>
          </w:tcPr>
          <w:p w:rsidR="00BD7DD7" w:rsidRDefault="00A6146C">
            <w:pPr>
              <w:jc w:val="center"/>
              <w:rPr>
                <w:szCs w:val="24"/>
              </w:rPr>
            </w:pPr>
            <w:r>
              <w:rPr>
                <w:szCs w:val="24"/>
              </w:rPr>
              <w:t>3</w:t>
            </w:r>
          </w:p>
        </w:tc>
        <w:tc>
          <w:tcPr>
            <w:tcW w:w="4018" w:type="dxa"/>
          </w:tcPr>
          <w:p w:rsidR="00BD7DD7" w:rsidRDefault="00A6146C">
            <w:pPr>
              <w:jc w:val="center"/>
              <w:rPr>
                <w:szCs w:val="24"/>
              </w:rPr>
            </w:pPr>
            <w:r>
              <w:rPr>
                <w:szCs w:val="24"/>
              </w:rPr>
              <w:t>4</w:t>
            </w:r>
          </w:p>
        </w:tc>
        <w:tc>
          <w:tcPr>
            <w:tcW w:w="1915" w:type="dxa"/>
          </w:tcPr>
          <w:p w:rsidR="00BD7DD7" w:rsidRDefault="00A6146C">
            <w:pPr>
              <w:jc w:val="center"/>
              <w:rPr>
                <w:szCs w:val="24"/>
              </w:rPr>
            </w:pPr>
            <w:r>
              <w:rPr>
                <w:szCs w:val="24"/>
              </w:rPr>
              <w:t>5</w:t>
            </w:r>
          </w:p>
        </w:tc>
      </w:tr>
      <w:tr w:rsidR="00BD7DD7">
        <w:tc>
          <w:tcPr>
            <w:tcW w:w="10484" w:type="dxa"/>
            <w:gridSpan w:val="6"/>
          </w:tcPr>
          <w:p w:rsidR="00BD7DD7" w:rsidRDefault="00A6146C">
            <w:pPr>
              <w:jc w:val="center"/>
              <w:rPr>
                <w:szCs w:val="24"/>
              </w:rPr>
            </w:pPr>
            <w:r>
              <w:rPr>
                <w:b/>
                <w:bCs/>
                <w:szCs w:val="24"/>
              </w:rPr>
              <w:t>Skelbimas apie pirkimą ir pirkimo specifikacijos</w:t>
            </w:r>
          </w:p>
        </w:tc>
      </w:tr>
      <w:tr w:rsidR="00BD7DD7">
        <w:trPr>
          <w:gridAfter w:val="1"/>
          <w:wAfter w:w="10" w:type="dxa"/>
        </w:trPr>
        <w:tc>
          <w:tcPr>
            <w:tcW w:w="555" w:type="dxa"/>
            <w:vMerge w:val="restart"/>
          </w:tcPr>
          <w:p w:rsidR="00BD7DD7" w:rsidRDefault="00A6146C">
            <w:pPr>
              <w:jc w:val="center"/>
              <w:rPr>
                <w:szCs w:val="24"/>
              </w:rPr>
            </w:pPr>
            <w:r>
              <w:rPr>
                <w:szCs w:val="24"/>
              </w:rPr>
              <w:t>1.</w:t>
            </w:r>
          </w:p>
        </w:tc>
        <w:tc>
          <w:tcPr>
            <w:tcW w:w="2192" w:type="dxa"/>
            <w:vMerge w:val="restart"/>
          </w:tcPr>
          <w:p w:rsidR="00BD7DD7" w:rsidRDefault="00A6146C">
            <w:pPr>
              <w:jc w:val="both"/>
              <w:rPr>
                <w:szCs w:val="24"/>
              </w:rPr>
            </w:pPr>
            <w:r>
              <w:rPr>
                <w:color w:val="000000"/>
                <w:szCs w:val="24"/>
              </w:rPr>
              <w:t>Skelbimo ap</w:t>
            </w:r>
            <w:r>
              <w:rPr>
                <w:color w:val="000000"/>
                <w:szCs w:val="24"/>
                <w:shd w:val="clear" w:color="auto" w:fill="FFFFFF"/>
              </w:rPr>
              <w:t xml:space="preserve">ie kvietimą dalyvauti pirkime (toliau – Skelbimas) ir kvietimo teikti pasiūlymus (toliau – Kvietimas) nepaskelbimas. </w:t>
            </w:r>
          </w:p>
          <w:p w:rsidR="00BD7DD7" w:rsidRDefault="00A6146C">
            <w:pPr>
              <w:jc w:val="both"/>
              <w:rPr>
                <w:szCs w:val="24"/>
              </w:rPr>
            </w:pPr>
            <w:r>
              <w:rPr>
                <w:szCs w:val="24"/>
              </w:rPr>
              <w:t>Tai taikoma ir tiesioginiam sutarčių skyrimui arba deryboms be išankstinio Skelbimo ir (ar) Kvietimo, jei neįvykdomi šių procedūrų taikymo kriterijai.</w:t>
            </w:r>
          </w:p>
        </w:tc>
        <w:tc>
          <w:tcPr>
            <w:tcW w:w="1794" w:type="dxa"/>
            <w:vMerge w:val="restart"/>
          </w:tcPr>
          <w:p w:rsidR="00BD7DD7" w:rsidRDefault="00A6146C">
            <w:pPr>
              <w:jc w:val="both"/>
              <w:rPr>
                <w:szCs w:val="24"/>
              </w:rPr>
            </w:pPr>
            <w:r>
              <w:rPr>
                <w:szCs w:val="24"/>
                <w:lang w:eastAsia="ar-SA"/>
              </w:rPr>
              <w:t>Lietuvos žuvininkystės sektoriaus 2021–2027 metų programos projektų finansavimo ir administravimo taisyklių 7 priedas „</w:t>
            </w:r>
            <w:r>
              <w:rPr>
                <w:szCs w:val="24"/>
              </w:rPr>
              <w:t>Pirkimų ir pirkimų tikrinimo tvarkos aprašas“ (toliau - Aprašas)</w:t>
            </w:r>
          </w:p>
        </w:tc>
        <w:tc>
          <w:tcPr>
            <w:tcW w:w="4018" w:type="dxa"/>
          </w:tcPr>
          <w:p w:rsidR="00BD7DD7" w:rsidRDefault="00A6146C">
            <w:pPr>
              <w:jc w:val="both"/>
              <w:rPr>
                <w:szCs w:val="24"/>
              </w:rPr>
            </w:pPr>
            <w:r>
              <w:rPr>
                <w:szCs w:val="24"/>
              </w:rPr>
              <w:t>1.1. Skelbimas ir Kvietimas, nepaskelbimas Apraše nustatyta tvarka, kai pirkimas turėjo būti vykdytas konkurso ar derybų būdu.</w:t>
            </w:r>
          </w:p>
          <w:p w:rsidR="00BD7DD7" w:rsidRDefault="00A6146C">
            <w:pPr>
              <w:jc w:val="both"/>
              <w:rPr>
                <w:szCs w:val="24"/>
              </w:rPr>
            </w:pPr>
            <w:r>
              <w:rPr>
                <w:szCs w:val="24"/>
              </w:rPr>
              <w:t>Tai taikoma ir tiesioginiam sutarčių skyrimui arba deryboms be išankstinio Skelbimo ir (ar) Kvietimo, jei neįvykdomi šių procedūrų taikymo kriterijai.</w:t>
            </w:r>
          </w:p>
        </w:tc>
        <w:tc>
          <w:tcPr>
            <w:tcW w:w="1915" w:type="dxa"/>
          </w:tcPr>
          <w:p w:rsidR="00BD7DD7" w:rsidRDefault="00A6146C">
            <w:pPr>
              <w:rPr>
                <w:szCs w:val="24"/>
              </w:rPr>
            </w:pPr>
            <w:r>
              <w:rPr>
                <w:szCs w:val="24"/>
              </w:rPr>
              <w:t>100 %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 xml:space="preserve">1.2. Toks pat, kaip aprašyta 1.1 papunktyje, išskyrus tai, kad viešumas buvo užtikrintas kitomis tinkamomis priemonėmis (pvz. jei Skelbimas nebuvo paskelbtas Nacionalinės mokėjimo agentūros prie Žemės ūkio ministerijos interneto svetainėje nma.lt Projektų vykdytojų pirkimų posistemėje (toliau – PVP), bet  tiekėjų konkurencija .buvo užtikrinta kitomis priemonėmis. </w:t>
            </w:r>
          </w:p>
        </w:tc>
        <w:tc>
          <w:tcPr>
            <w:tcW w:w="1915" w:type="dxa"/>
          </w:tcPr>
          <w:p w:rsidR="00BD7DD7" w:rsidRDefault="00A6146C">
            <w:pPr>
              <w:rPr>
                <w:szCs w:val="24"/>
              </w:rPr>
            </w:pPr>
            <w:r>
              <w:rPr>
                <w:szCs w:val="24"/>
              </w:rPr>
              <w:t>25 %</w:t>
            </w:r>
          </w:p>
        </w:tc>
      </w:tr>
      <w:tr w:rsidR="00BD7DD7">
        <w:trPr>
          <w:gridAfter w:val="1"/>
          <w:wAfter w:w="10" w:type="dxa"/>
          <w:trHeight w:val="3542"/>
        </w:trPr>
        <w:tc>
          <w:tcPr>
            <w:tcW w:w="555" w:type="dxa"/>
          </w:tcPr>
          <w:p w:rsidR="00BD7DD7" w:rsidRDefault="00A6146C">
            <w:pPr>
              <w:jc w:val="center"/>
              <w:rPr>
                <w:szCs w:val="24"/>
              </w:rPr>
            </w:pPr>
            <w:r>
              <w:rPr>
                <w:szCs w:val="24"/>
              </w:rPr>
              <w:t>2.</w:t>
            </w:r>
          </w:p>
        </w:tc>
        <w:tc>
          <w:tcPr>
            <w:tcW w:w="2192" w:type="dxa"/>
          </w:tcPr>
          <w:p w:rsidR="00BD7DD7" w:rsidRDefault="00A6146C">
            <w:pPr>
              <w:jc w:val="both"/>
              <w:rPr>
                <w:szCs w:val="24"/>
              </w:rPr>
            </w:pPr>
            <w:r>
              <w:rPr>
                <w:szCs w:val="24"/>
              </w:rPr>
              <w:t>Dirbtinis darbų, paslaugų arba prekių pirkimo sutarčių suskaidymas.</w:t>
            </w:r>
          </w:p>
        </w:tc>
        <w:tc>
          <w:tcPr>
            <w:tcW w:w="1794" w:type="dxa"/>
          </w:tcPr>
          <w:p w:rsidR="00BD7DD7" w:rsidRDefault="00A6146C">
            <w:pPr>
              <w:jc w:val="both"/>
              <w:rPr>
                <w:szCs w:val="24"/>
              </w:rPr>
            </w:pPr>
            <w:r>
              <w:rPr>
                <w:szCs w:val="24"/>
              </w:rPr>
              <w:t>Aprašas</w:t>
            </w:r>
          </w:p>
          <w:p w:rsidR="00BD7DD7" w:rsidRDefault="00BD7DD7">
            <w:pPr>
              <w:jc w:val="both"/>
              <w:rPr>
                <w:szCs w:val="24"/>
              </w:rPr>
            </w:pPr>
          </w:p>
          <w:p w:rsidR="00BD7DD7" w:rsidRDefault="00BD7DD7">
            <w:pPr>
              <w:jc w:val="both"/>
              <w:rPr>
                <w:szCs w:val="24"/>
              </w:rPr>
            </w:pPr>
          </w:p>
        </w:tc>
        <w:tc>
          <w:tcPr>
            <w:tcW w:w="4018" w:type="dxa"/>
          </w:tcPr>
          <w:p w:rsidR="00BD7DD7" w:rsidRDefault="00A6146C">
            <w:pPr>
              <w:jc w:val="both"/>
              <w:rPr>
                <w:szCs w:val="24"/>
              </w:rPr>
            </w:pPr>
            <w:r>
              <w:rPr>
                <w:szCs w:val="24"/>
              </w:rPr>
              <w:t>2.1. Dirbtinai suskaidomas planuojamas pirkimas siekiant išvengti tinkamo pirkimo būdo parinkimo Apraše nustatyta tvarka.</w:t>
            </w:r>
          </w:p>
          <w:p w:rsidR="00BD7DD7" w:rsidRDefault="00A6146C">
            <w:pPr>
              <w:jc w:val="both"/>
              <w:rPr>
                <w:szCs w:val="24"/>
              </w:rPr>
            </w:pPr>
            <w:r>
              <w:rPr>
                <w:szCs w:val="24"/>
              </w:rPr>
              <w:t>Vietoje vieno pirkimo atlikti keli pirkimai, netaikant jiems Apraše nustatyto pirkimo būdo, darbų, prekių ar paslaugų pirkimas yra dirbtinai suskirstytas į kelias sutartis.</w:t>
            </w:r>
          </w:p>
          <w:p w:rsidR="00BD7DD7" w:rsidRDefault="00A6146C">
            <w:pPr>
              <w:ind w:firstLine="62"/>
              <w:jc w:val="both"/>
              <w:rPr>
                <w:szCs w:val="24"/>
              </w:rPr>
            </w:pPr>
            <w:r>
              <w:rPr>
                <w:szCs w:val="24"/>
              </w:rPr>
              <w:t>Finansinė pataisa netaikoma, jei pirkimo objektas buvo skaidytas į atskiras dalis, tačiau pirkimo vykdymo būdas, vadovaujantis Apraše nustatyta tvarka, pasirinktas įvertinant viso objekto vertę, o ne atskirą pirkimą.</w:t>
            </w:r>
          </w:p>
        </w:tc>
        <w:tc>
          <w:tcPr>
            <w:tcW w:w="1915" w:type="dxa"/>
          </w:tcPr>
          <w:p w:rsidR="00BD7DD7" w:rsidRDefault="00A6146C">
            <w:pPr>
              <w:rPr>
                <w:szCs w:val="24"/>
              </w:rPr>
            </w:pPr>
            <w:r>
              <w:rPr>
                <w:szCs w:val="24"/>
              </w:rPr>
              <w:t>100 %</w:t>
            </w:r>
          </w:p>
        </w:tc>
      </w:tr>
      <w:tr w:rsidR="00BD7DD7">
        <w:trPr>
          <w:gridAfter w:val="1"/>
          <w:wAfter w:w="10" w:type="dxa"/>
        </w:trPr>
        <w:tc>
          <w:tcPr>
            <w:tcW w:w="555" w:type="dxa"/>
            <w:vMerge w:val="restart"/>
          </w:tcPr>
          <w:p w:rsidR="00BD7DD7" w:rsidRDefault="00A6146C">
            <w:pPr>
              <w:jc w:val="center"/>
              <w:rPr>
                <w:szCs w:val="24"/>
              </w:rPr>
            </w:pPr>
            <w:r>
              <w:rPr>
                <w:szCs w:val="24"/>
              </w:rPr>
              <w:t>3.</w:t>
            </w:r>
          </w:p>
        </w:tc>
        <w:tc>
          <w:tcPr>
            <w:tcW w:w="2192" w:type="dxa"/>
            <w:vMerge w:val="restart"/>
          </w:tcPr>
          <w:p w:rsidR="00BD7DD7" w:rsidRDefault="00A6146C">
            <w:pPr>
              <w:jc w:val="both"/>
              <w:rPr>
                <w:szCs w:val="24"/>
              </w:rPr>
            </w:pPr>
            <w:r>
              <w:rPr>
                <w:szCs w:val="24"/>
              </w:rPr>
              <w:t xml:space="preserve">Terminų pasiūlymams pateikti nesilaikymas arba jų </w:t>
            </w:r>
            <w:r>
              <w:rPr>
                <w:szCs w:val="24"/>
              </w:rPr>
              <w:lastRenderedPageBreak/>
              <w:t>nepratęsimas, kai pirkimo dokumentuose padaroma esminių pakeitimų.</w:t>
            </w:r>
          </w:p>
        </w:tc>
        <w:tc>
          <w:tcPr>
            <w:tcW w:w="1794" w:type="dxa"/>
            <w:vMerge w:val="restart"/>
          </w:tcPr>
          <w:p w:rsidR="00BD7DD7" w:rsidRDefault="00A6146C">
            <w:pPr>
              <w:jc w:val="both"/>
              <w:rPr>
                <w:szCs w:val="24"/>
              </w:rPr>
            </w:pPr>
            <w:r>
              <w:rPr>
                <w:szCs w:val="24"/>
              </w:rPr>
              <w:lastRenderedPageBreak/>
              <w:t>Aprašas</w:t>
            </w:r>
          </w:p>
          <w:p w:rsidR="00BD7DD7" w:rsidRDefault="00BD7DD7">
            <w:pPr>
              <w:jc w:val="both"/>
              <w:rPr>
                <w:szCs w:val="24"/>
              </w:rPr>
            </w:pPr>
          </w:p>
          <w:p w:rsidR="00BD7DD7" w:rsidRDefault="00BD7DD7">
            <w:pPr>
              <w:jc w:val="both"/>
              <w:rPr>
                <w:szCs w:val="24"/>
              </w:rPr>
            </w:pPr>
          </w:p>
        </w:tc>
        <w:tc>
          <w:tcPr>
            <w:tcW w:w="4018" w:type="dxa"/>
          </w:tcPr>
          <w:p w:rsidR="00BD7DD7" w:rsidRDefault="00A6146C">
            <w:pPr>
              <w:jc w:val="both"/>
              <w:rPr>
                <w:szCs w:val="24"/>
              </w:rPr>
            </w:pPr>
            <w:r>
              <w:rPr>
                <w:szCs w:val="24"/>
              </w:rPr>
              <w:t>3.1. Skelbime nustatyti terminai pasiūlymams pateikti sutrumpinami 85 % ar daugiau.</w:t>
            </w:r>
          </w:p>
          <w:p w:rsidR="00BD7DD7" w:rsidRDefault="00A6146C">
            <w:pPr>
              <w:jc w:val="both"/>
              <w:rPr>
                <w:szCs w:val="24"/>
              </w:rPr>
            </w:pPr>
            <w:r>
              <w:rPr>
                <w:szCs w:val="24"/>
              </w:rPr>
              <w:t>Minimalūs terminai nustatyti Apraše.</w:t>
            </w:r>
          </w:p>
        </w:tc>
        <w:tc>
          <w:tcPr>
            <w:tcW w:w="1915" w:type="dxa"/>
          </w:tcPr>
          <w:p w:rsidR="00BD7DD7" w:rsidRDefault="00A6146C">
            <w:pPr>
              <w:rPr>
                <w:szCs w:val="24"/>
              </w:rPr>
            </w:pPr>
            <w:r>
              <w:rPr>
                <w:szCs w:val="24"/>
              </w:rPr>
              <w:t>100 %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3.2. Skelbime nustatyti terminai pasiūlymams pateikti sutrumpinami 50 % ar daugiau (bet mažiau nei 85 %)</w:t>
            </w:r>
          </w:p>
        </w:tc>
        <w:tc>
          <w:tcPr>
            <w:tcW w:w="1915" w:type="dxa"/>
          </w:tcPr>
          <w:p w:rsidR="00BD7DD7" w:rsidRDefault="00A6146C">
            <w:pPr>
              <w:rPr>
                <w:szCs w:val="24"/>
              </w:rPr>
            </w:pPr>
            <w:r>
              <w:rPr>
                <w:szCs w:val="24"/>
              </w:rPr>
              <w:t>25 %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3.3. Skelbime nustatyti terminai pasiūlymams pateikti sutrumpinami 30 % arba daugiau (bet mažiau nei 50 %)</w:t>
            </w:r>
          </w:p>
          <w:p w:rsidR="00BD7DD7" w:rsidRDefault="00A6146C">
            <w:pPr>
              <w:jc w:val="both"/>
              <w:rPr>
                <w:szCs w:val="24"/>
              </w:rPr>
            </w:pPr>
            <w:r>
              <w:rPr>
                <w:szCs w:val="24"/>
              </w:rPr>
              <w:t>arba</w:t>
            </w:r>
          </w:p>
          <w:p w:rsidR="00BD7DD7" w:rsidRDefault="00A6146C">
            <w:pPr>
              <w:jc w:val="both"/>
              <w:rPr>
                <w:szCs w:val="24"/>
              </w:rPr>
            </w:pPr>
            <w:r>
              <w:rPr>
                <w:szCs w:val="24"/>
              </w:rPr>
              <w:t>nebuvo pratęsti terminai, nors pirkimo dokumentuose buvo padaryta esminių pakeitimų.</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3.4. Skelbime nustatyti terminai pasiūlymas pateikti sutrumpinami mažiau nei 30 %.</w:t>
            </w:r>
          </w:p>
        </w:tc>
        <w:tc>
          <w:tcPr>
            <w:tcW w:w="1915" w:type="dxa"/>
          </w:tcPr>
          <w:p w:rsidR="00BD7DD7" w:rsidRDefault="00A6146C">
            <w:pPr>
              <w:rPr>
                <w:szCs w:val="24"/>
              </w:rPr>
            </w:pPr>
            <w:r>
              <w:rPr>
                <w:szCs w:val="24"/>
              </w:rPr>
              <w:t>5 %</w:t>
            </w:r>
          </w:p>
        </w:tc>
      </w:tr>
      <w:tr w:rsidR="00BD7DD7">
        <w:trPr>
          <w:gridAfter w:val="1"/>
          <w:wAfter w:w="10" w:type="dxa"/>
        </w:trPr>
        <w:tc>
          <w:tcPr>
            <w:tcW w:w="555" w:type="dxa"/>
            <w:vMerge w:val="restart"/>
          </w:tcPr>
          <w:p w:rsidR="00BD7DD7" w:rsidRDefault="00A6146C">
            <w:pPr>
              <w:jc w:val="center"/>
              <w:rPr>
                <w:szCs w:val="24"/>
              </w:rPr>
            </w:pPr>
            <w:r>
              <w:rPr>
                <w:szCs w:val="24"/>
              </w:rPr>
              <w:t>4.</w:t>
            </w:r>
          </w:p>
        </w:tc>
        <w:tc>
          <w:tcPr>
            <w:tcW w:w="2192" w:type="dxa"/>
            <w:vMerge w:val="restart"/>
          </w:tcPr>
          <w:p w:rsidR="00BD7DD7" w:rsidRDefault="00A6146C">
            <w:pPr>
              <w:jc w:val="both"/>
              <w:rPr>
                <w:szCs w:val="24"/>
              </w:rPr>
            </w:pPr>
            <w:r>
              <w:rPr>
                <w:szCs w:val="24"/>
              </w:rPr>
              <w:t>Nepaskelbimas apie terminų pasiūlymams pateikti pratęsimą arba jų nepratęsimas.</w:t>
            </w:r>
          </w:p>
        </w:tc>
        <w:tc>
          <w:tcPr>
            <w:tcW w:w="1794" w:type="dxa"/>
            <w:vMerge w:val="restart"/>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4.1 Terminai pasiūlymams pateikti buvo pratęsti, bet apie tai nepaskelbta kaip reikalaujama Aprašo 15 punkte.</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4.2 Terminai pasiūlymams pateikti buvo pratęsti, bet apie tai nepaskelbta kaip reikalaujama Aprašo 15 punkte, tačiau pratęstų  terminų viešumas buvo užtikrintas kitomis priemonėmis.</w:t>
            </w:r>
          </w:p>
        </w:tc>
        <w:tc>
          <w:tcPr>
            <w:tcW w:w="1915" w:type="dxa"/>
          </w:tcPr>
          <w:p w:rsidR="00BD7DD7" w:rsidRDefault="00A6146C">
            <w:pPr>
              <w:rPr>
                <w:szCs w:val="24"/>
              </w:rPr>
            </w:pPr>
            <w:r>
              <w:rPr>
                <w:szCs w:val="24"/>
              </w:rPr>
              <w:t>5 %</w:t>
            </w:r>
          </w:p>
        </w:tc>
      </w:tr>
      <w:tr w:rsidR="00BD7DD7">
        <w:trPr>
          <w:gridAfter w:val="1"/>
          <w:wAfter w:w="10" w:type="dxa"/>
        </w:trPr>
        <w:tc>
          <w:tcPr>
            <w:tcW w:w="555" w:type="dxa"/>
            <w:vMerge w:val="restart"/>
          </w:tcPr>
          <w:p w:rsidR="00BD7DD7" w:rsidRDefault="00A6146C">
            <w:pPr>
              <w:jc w:val="center"/>
              <w:rPr>
                <w:szCs w:val="24"/>
              </w:rPr>
            </w:pPr>
            <w:r>
              <w:rPr>
                <w:szCs w:val="24"/>
              </w:rPr>
              <w:t>5.</w:t>
            </w:r>
          </w:p>
        </w:tc>
        <w:tc>
          <w:tcPr>
            <w:tcW w:w="2192" w:type="dxa"/>
            <w:vMerge w:val="restart"/>
          </w:tcPr>
          <w:p w:rsidR="00BD7DD7" w:rsidRDefault="00A6146C">
            <w:pPr>
              <w:jc w:val="both"/>
              <w:rPr>
                <w:szCs w:val="24"/>
              </w:rPr>
            </w:pPr>
            <w:r>
              <w:rPr>
                <w:szCs w:val="24"/>
              </w:rPr>
              <w:t xml:space="preserve">Pasiūlymo vertinimo kriterijų ir (arba) sutarties sudarymo kriterijų (ir jų lyginamųjų svorių), sutarčių </w:t>
            </w:r>
          </w:p>
          <w:p w:rsidR="00BD7DD7" w:rsidRDefault="00A6146C">
            <w:pPr>
              <w:jc w:val="both"/>
              <w:rPr>
                <w:szCs w:val="24"/>
              </w:rPr>
            </w:pPr>
            <w:r>
              <w:rPr>
                <w:szCs w:val="24"/>
              </w:rPr>
              <w:t xml:space="preserve">vykdymo sąlygų arba techninių specifikacijų nepaskelbimas skelbime ir (ar) Kvietime </w:t>
            </w:r>
          </w:p>
          <w:p w:rsidR="00BD7DD7" w:rsidRDefault="00A6146C">
            <w:pPr>
              <w:jc w:val="both"/>
              <w:rPr>
                <w:szCs w:val="24"/>
              </w:rPr>
            </w:pPr>
            <w:r>
              <w:rPr>
                <w:szCs w:val="24"/>
              </w:rPr>
              <w:t xml:space="preserve">arba </w:t>
            </w:r>
          </w:p>
          <w:p w:rsidR="00BD7DD7" w:rsidRDefault="00A6146C">
            <w:pPr>
              <w:jc w:val="both"/>
              <w:rPr>
                <w:szCs w:val="24"/>
              </w:rPr>
            </w:pPr>
            <w:r>
              <w:rPr>
                <w:szCs w:val="24"/>
              </w:rPr>
              <w:t xml:space="preserve">nepakankamai išsamus sutarties sudarymo kriterijų ir jų lyginamųjų svorių aprašymas, </w:t>
            </w:r>
          </w:p>
          <w:p w:rsidR="00BD7DD7" w:rsidRDefault="00A6146C">
            <w:pPr>
              <w:jc w:val="both"/>
              <w:rPr>
                <w:szCs w:val="24"/>
              </w:rPr>
            </w:pPr>
            <w:r>
              <w:rPr>
                <w:szCs w:val="24"/>
              </w:rPr>
              <w:t xml:space="preserve">arba </w:t>
            </w:r>
          </w:p>
          <w:p w:rsidR="00BD7DD7" w:rsidRDefault="00A6146C">
            <w:pPr>
              <w:jc w:val="both"/>
              <w:rPr>
                <w:szCs w:val="24"/>
              </w:rPr>
            </w:pPr>
            <w:r>
              <w:rPr>
                <w:szCs w:val="24"/>
              </w:rPr>
              <w:t>paaiškinimų ir (arba) papildomos informacijos nepateikimas ir (arba) nepaskelbimas</w:t>
            </w:r>
          </w:p>
        </w:tc>
        <w:tc>
          <w:tcPr>
            <w:tcW w:w="1794" w:type="dxa"/>
            <w:vMerge w:val="restart"/>
          </w:tcPr>
          <w:p w:rsidR="00BD7DD7" w:rsidRDefault="00A6146C">
            <w:pPr>
              <w:jc w:val="both"/>
              <w:rPr>
                <w:szCs w:val="24"/>
              </w:rPr>
            </w:pPr>
            <w:r>
              <w:rPr>
                <w:szCs w:val="24"/>
              </w:rPr>
              <w:t>Aprašas</w:t>
            </w:r>
          </w:p>
          <w:p w:rsidR="00BD7DD7" w:rsidRDefault="00BD7DD7">
            <w:pPr>
              <w:jc w:val="both"/>
              <w:rPr>
                <w:szCs w:val="24"/>
              </w:rPr>
            </w:pPr>
          </w:p>
          <w:p w:rsidR="00BD7DD7" w:rsidRDefault="00A6146C">
            <w:pPr>
              <w:jc w:val="both"/>
              <w:rPr>
                <w:szCs w:val="24"/>
              </w:rPr>
            </w:pPr>
            <w:r>
              <w:rPr>
                <w:szCs w:val="24"/>
              </w:rPr>
              <w:t>Kas nenumatyta Apraše, taikomi bendrieji principai nustatyti VPĮ</w:t>
            </w:r>
          </w:p>
        </w:tc>
        <w:tc>
          <w:tcPr>
            <w:tcW w:w="4018" w:type="dxa"/>
          </w:tcPr>
          <w:p w:rsidR="00BD7DD7" w:rsidRDefault="00A6146C">
            <w:pPr>
              <w:jc w:val="both"/>
              <w:rPr>
                <w:szCs w:val="24"/>
              </w:rPr>
            </w:pPr>
            <w:r>
              <w:rPr>
                <w:szCs w:val="24"/>
              </w:rPr>
              <w:t>5.1 Kvietime nepaskelbiami atrankos ir (arba) sutarties sudarymo kriterijai (ir jų lyginamieji svoriai).</w:t>
            </w:r>
          </w:p>
          <w:p w:rsidR="00BD7DD7" w:rsidRDefault="00BD7DD7">
            <w:pPr>
              <w:jc w:val="both"/>
              <w:rPr>
                <w:szCs w:val="24"/>
              </w:rPr>
            </w:pPr>
          </w:p>
        </w:tc>
        <w:tc>
          <w:tcPr>
            <w:tcW w:w="1915" w:type="dxa"/>
          </w:tcPr>
          <w:p w:rsidR="00BD7DD7" w:rsidRDefault="00A6146C">
            <w:pPr>
              <w:rPr>
                <w:szCs w:val="24"/>
              </w:rPr>
            </w:pPr>
            <w:r>
              <w:rPr>
                <w:szCs w:val="24"/>
              </w:rPr>
              <w:t>25 %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5.2 Kvietime nepaskelbiamos sutarties vykdymo sąlygos arba techninės specifikacijos.</w:t>
            </w:r>
          </w:p>
          <w:p w:rsidR="00BD7DD7" w:rsidRDefault="00BD7DD7">
            <w:pPr>
              <w:jc w:val="both"/>
              <w:rPr>
                <w:szCs w:val="24"/>
              </w:rPr>
            </w:pPr>
          </w:p>
          <w:p w:rsidR="00BD7DD7" w:rsidRDefault="00A6146C">
            <w:pPr>
              <w:jc w:val="both"/>
              <w:rPr>
                <w:szCs w:val="24"/>
              </w:rPr>
            </w:pPr>
            <w:r>
              <w:rPr>
                <w:szCs w:val="24"/>
              </w:rPr>
              <w:t>5.3 Kvietime, techninėse specifikacijose nėra pakankamai išsamiai aprašyti pasiūlymų vertinimo ir sutarties sudarymo kriterijai, jų lyginamieji svoriai, todėl netinkamai apribojama konkurencija (t. y. pakankamai išsamios informacijos trūkumas galėjo atgrasyti galimus konkurso dalyvius).</w:t>
            </w:r>
          </w:p>
          <w:p w:rsidR="00BD7DD7" w:rsidRDefault="00BD7DD7">
            <w:pPr>
              <w:jc w:val="both"/>
              <w:rPr>
                <w:szCs w:val="24"/>
              </w:rPr>
            </w:pPr>
          </w:p>
          <w:p w:rsidR="00BD7DD7" w:rsidRDefault="00A6146C">
            <w:pPr>
              <w:jc w:val="both"/>
              <w:rPr>
                <w:szCs w:val="24"/>
              </w:rPr>
            </w:pPr>
            <w:r>
              <w:rPr>
                <w:szCs w:val="24"/>
              </w:rPr>
              <w:t>5.4 Paaiškinimai arba papildoma informacija (susijusi su atrankos ir (arba) sutarties sudarymo kriterijais) buvo pateikti ne visiems konkurso dalyviams arba nebuvo paskelbti PVP.</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val="restart"/>
          </w:tcPr>
          <w:p w:rsidR="00BD7DD7" w:rsidRDefault="00A6146C">
            <w:pPr>
              <w:jc w:val="center"/>
              <w:rPr>
                <w:szCs w:val="24"/>
              </w:rPr>
            </w:pPr>
            <w:r>
              <w:rPr>
                <w:szCs w:val="24"/>
              </w:rPr>
              <w:t>6.</w:t>
            </w:r>
          </w:p>
        </w:tc>
        <w:tc>
          <w:tcPr>
            <w:tcW w:w="2192" w:type="dxa"/>
            <w:vMerge w:val="restart"/>
          </w:tcPr>
          <w:p w:rsidR="00BD7DD7" w:rsidRDefault="00A6146C">
            <w:pPr>
              <w:jc w:val="both"/>
              <w:rPr>
                <w:szCs w:val="24"/>
              </w:rPr>
            </w:pPr>
            <w:r>
              <w:rPr>
                <w:szCs w:val="24"/>
              </w:rPr>
              <w:t>Nepagrįstais nacionaliniais, regioniniais arba vietos prioritetais grindžiamų diskriminacinių:</w:t>
            </w:r>
          </w:p>
          <w:p w:rsidR="00BD7DD7" w:rsidRDefault="00A6146C">
            <w:pPr>
              <w:jc w:val="both"/>
              <w:rPr>
                <w:szCs w:val="24"/>
              </w:rPr>
            </w:pPr>
            <w:r>
              <w:rPr>
                <w:szCs w:val="24"/>
              </w:rPr>
              <w:lastRenderedPageBreak/>
              <w:t>– draudimo dalyvauti procedūroje, atrankos arba sutarties sudarymo kriterijų,</w:t>
            </w:r>
          </w:p>
          <w:p w:rsidR="00BD7DD7" w:rsidRDefault="00A6146C">
            <w:pPr>
              <w:jc w:val="both"/>
              <w:rPr>
                <w:szCs w:val="24"/>
              </w:rPr>
            </w:pPr>
            <w:r>
              <w:rPr>
                <w:szCs w:val="24"/>
              </w:rPr>
              <w:t>– sutarčių vykdymo sąlygų arba</w:t>
            </w:r>
          </w:p>
          <w:p w:rsidR="00BD7DD7" w:rsidRDefault="00A6146C">
            <w:pPr>
              <w:jc w:val="both"/>
              <w:rPr>
                <w:szCs w:val="24"/>
              </w:rPr>
            </w:pPr>
            <w:r>
              <w:rPr>
                <w:szCs w:val="24"/>
              </w:rPr>
              <w:t>– techninių specifikacijų</w:t>
            </w:r>
          </w:p>
          <w:p w:rsidR="00BD7DD7" w:rsidRDefault="00A6146C">
            <w:pPr>
              <w:jc w:val="both"/>
              <w:rPr>
                <w:szCs w:val="24"/>
              </w:rPr>
            </w:pPr>
            <w:r>
              <w:rPr>
                <w:szCs w:val="24"/>
              </w:rPr>
              <w:t>taikymas.</w:t>
            </w:r>
          </w:p>
        </w:tc>
        <w:tc>
          <w:tcPr>
            <w:tcW w:w="1794" w:type="dxa"/>
            <w:vMerge w:val="restart"/>
          </w:tcPr>
          <w:p w:rsidR="00BD7DD7" w:rsidRDefault="00A6146C">
            <w:pPr>
              <w:jc w:val="both"/>
              <w:rPr>
                <w:szCs w:val="24"/>
              </w:rPr>
            </w:pPr>
            <w:r>
              <w:rPr>
                <w:szCs w:val="24"/>
              </w:rPr>
              <w:lastRenderedPageBreak/>
              <w:t>Aprašas</w:t>
            </w:r>
          </w:p>
        </w:tc>
        <w:tc>
          <w:tcPr>
            <w:tcW w:w="4018" w:type="dxa"/>
          </w:tcPr>
          <w:p w:rsidR="00BD7DD7" w:rsidRDefault="00A6146C">
            <w:pPr>
              <w:jc w:val="both"/>
              <w:rPr>
                <w:szCs w:val="24"/>
              </w:rPr>
            </w:pPr>
            <w:r>
              <w:rPr>
                <w:szCs w:val="24"/>
              </w:rPr>
              <w:t xml:space="preserve">6.1 Atvejai, kai ekonominės veiklos vykdytojai galėjo būti atgrasyti nuo pasiūlymų teikimo dėl draudimo dalyvauti procedūroje, atrankos ir (arba) sutarties sudarymo kriterijų arba sutarčių vykdymo sąlygų, į kuriuos </w:t>
            </w:r>
            <w:r>
              <w:rPr>
                <w:szCs w:val="24"/>
              </w:rPr>
              <w:lastRenderedPageBreak/>
              <w:t>įtraukti nepagrįsti nacionaliniai, regioniniai arba vietos prioritetai.</w:t>
            </w:r>
          </w:p>
          <w:p w:rsidR="00BD7DD7" w:rsidRDefault="00A6146C">
            <w:pPr>
              <w:jc w:val="both"/>
              <w:rPr>
                <w:szCs w:val="24"/>
              </w:rPr>
            </w:pPr>
            <w:r>
              <w:rPr>
                <w:szCs w:val="24"/>
              </w:rPr>
              <w:t>6.2 Taip būtų, pvz., reikalaujant, kad pasiūlymo pateikimo metu:</w:t>
            </w:r>
          </w:p>
          <w:p w:rsidR="00BD7DD7" w:rsidRDefault="00BD7DD7">
            <w:pPr>
              <w:jc w:val="both"/>
              <w:rPr>
                <w:szCs w:val="24"/>
              </w:rPr>
            </w:pPr>
          </w:p>
          <w:p w:rsidR="00BD7DD7" w:rsidRDefault="00A6146C">
            <w:pPr>
              <w:jc w:val="both"/>
              <w:rPr>
                <w:szCs w:val="24"/>
              </w:rPr>
            </w:pPr>
            <w:r>
              <w:rPr>
                <w:szCs w:val="24"/>
              </w:rPr>
              <w:t>a) reikia būti įsisteigusiam arba turėti atstovybę šalyje arba regione arba</w:t>
            </w:r>
          </w:p>
          <w:p w:rsidR="00BD7DD7" w:rsidRDefault="00BD7DD7">
            <w:pPr>
              <w:jc w:val="both"/>
              <w:rPr>
                <w:szCs w:val="24"/>
              </w:rPr>
            </w:pPr>
          </w:p>
          <w:p w:rsidR="00BD7DD7" w:rsidRDefault="00A6146C">
            <w:pPr>
              <w:jc w:val="both"/>
              <w:rPr>
                <w:szCs w:val="24"/>
              </w:rPr>
            </w:pPr>
            <w:r>
              <w:rPr>
                <w:szCs w:val="24"/>
              </w:rPr>
              <w:t>b) pirkimo dalyviai turėtų patirties ir (arba) kvalifikaciją šalyje arba regione,</w:t>
            </w:r>
          </w:p>
          <w:p w:rsidR="00BD7DD7" w:rsidRDefault="00BD7DD7">
            <w:pPr>
              <w:jc w:val="both"/>
              <w:rPr>
                <w:szCs w:val="24"/>
              </w:rPr>
            </w:pPr>
          </w:p>
          <w:p w:rsidR="00BD7DD7" w:rsidRDefault="00A6146C">
            <w:pPr>
              <w:jc w:val="both"/>
              <w:rPr>
                <w:szCs w:val="24"/>
              </w:rPr>
            </w:pPr>
            <w:r>
              <w:rPr>
                <w:szCs w:val="24"/>
              </w:rPr>
              <w:t>c) konkurso dalyviai turėtų įrangos šalyje arba regione.</w:t>
            </w:r>
          </w:p>
          <w:p w:rsidR="00BD7DD7" w:rsidRDefault="00BD7DD7">
            <w:pPr>
              <w:jc w:val="both"/>
              <w:rPr>
                <w:szCs w:val="24"/>
              </w:rPr>
            </w:pPr>
          </w:p>
          <w:p w:rsidR="00BD7DD7" w:rsidRDefault="00BD7DD7">
            <w:pPr>
              <w:jc w:val="both"/>
              <w:rPr>
                <w:szCs w:val="24"/>
              </w:rPr>
            </w:pPr>
          </w:p>
          <w:p w:rsidR="00BD7DD7" w:rsidRDefault="00BD7DD7">
            <w:pPr>
              <w:jc w:val="both"/>
              <w:rPr>
                <w:szCs w:val="24"/>
              </w:rPr>
            </w:pPr>
          </w:p>
          <w:p w:rsidR="00BD7DD7" w:rsidRDefault="00BD7DD7">
            <w:pPr>
              <w:jc w:val="both"/>
              <w:rPr>
                <w:szCs w:val="24"/>
              </w:rPr>
            </w:pPr>
          </w:p>
          <w:p w:rsidR="00BD7DD7" w:rsidRDefault="00BD7DD7">
            <w:pPr>
              <w:jc w:val="both"/>
              <w:rPr>
                <w:szCs w:val="24"/>
              </w:rPr>
            </w:pPr>
          </w:p>
          <w:p w:rsidR="00BD7DD7" w:rsidRDefault="00BD7DD7">
            <w:pPr>
              <w:jc w:val="both"/>
              <w:rPr>
                <w:szCs w:val="24"/>
              </w:rPr>
            </w:pPr>
          </w:p>
          <w:p w:rsidR="00BD7DD7" w:rsidRDefault="00BD7DD7">
            <w:pPr>
              <w:jc w:val="both"/>
              <w:rPr>
                <w:szCs w:val="24"/>
              </w:rPr>
            </w:pPr>
          </w:p>
        </w:tc>
        <w:tc>
          <w:tcPr>
            <w:tcW w:w="1915" w:type="dxa"/>
          </w:tcPr>
          <w:p w:rsidR="00BD7DD7" w:rsidRDefault="00A6146C">
            <w:pPr>
              <w:rPr>
                <w:szCs w:val="24"/>
              </w:rPr>
            </w:pPr>
            <w:r>
              <w:rPr>
                <w:szCs w:val="24"/>
              </w:rPr>
              <w:lastRenderedPageBreak/>
              <w:t>25 %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 xml:space="preserve">6.3 Jeigu gautas daugiau nei 1 pasiūlymas, atitinkantis Skelbime, Kvietime ir kituose pirkimo dokumentuose nustatytus reikalavimus . </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val="restart"/>
          </w:tcPr>
          <w:p w:rsidR="00BD7DD7" w:rsidRDefault="00A6146C">
            <w:pPr>
              <w:jc w:val="center"/>
              <w:rPr>
                <w:szCs w:val="24"/>
              </w:rPr>
            </w:pPr>
            <w:r>
              <w:rPr>
                <w:szCs w:val="24"/>
              </w:rPr>
              <w:t>7.</w:t>
            </w:r>
          </w:p>
        </w:tc>
        <w:tc>
          <w:tcPr>
            <w:tcW w:w="2192" w:type="dxa"/>
            <w:vMerge w:val="restart"/>
          </w:tcPr>
          <w:p w:rsidR="00BD7DD7" w:rsidRDefault="00A6146C">
            <w:pPr>
              <w:jc w:val="both"/>
              <w:rPr>
                <w:szCs w:val="24"/>
              </w:rPr>
            </w:pPr>
            <w:r>
              <w:rPr>
                <w:szCs w:val="24"/>
              </w:rPr>
              <w:t>Pirmiau aprašytos rūšies pažeidimo prasme nediskriminacinių, bet ekonominės veiklos vykdytojų galimybes dalyvauti konkurse vis tiek ribojančių:</w:t>
            </w:r>
          </w:p>
          <w:p w:rsidR="00BD7DD7" w:rsidRDefault="00A6146C">
            <w:pPr>
              <w:jc w:val="both"/>
              <w:rPr>
                <w:szCs w:val="24"/>
              </w:rPr>
            </w:pPr>
            <w:r>
              <w:rPr>
                <w:szCs w:val="24"/>
              </w:rPr>
              <w:t>– draudimo dalyvauti procedūroje, atrankos arba sutarties sudarymo kriterijų,</w:t>
            </w:r>
          </w:p>
          <w:p w:rsidR="00BD7DD7" w:rsidRDefault="00BD7DD7">
            <w:pPr>
              <w:jc w:val="both"/>
              <w:rPr>
                <w:szCs w:val="24"/>
              </w:rPr>
            </w:pPr>
          </w:p>
          <w:p w:rsidR="00BD7DD7" w:rsidRDefault="00A6146C">
            <w:pPr>
              <w:jc w:val="both"/>
              <w:rPr>
                <w:szCs w:val="24"/>
              </w:rPr>
            </w:pPr>
            <w:r>
              <w:rPr>
                <w:szCs w:val="24"/>
              </w:rPr>
              <w:t>– sutarčių vykdymo sąlygų arba</w:t>
            </w:r>
          </w:p>
          <w:p w:rsidR="00BD7DD7" w:rsidRDefault="00BD7DD7">
            <w:pPr>
              <w:jc w:val="both"/>
              <w:rPr>
                <w:szCs w:val="24"/>
              </w:rPr>
            </w:pPr>
          </w:p>
          <w:p w:rsidR="00BD7DD7" w:rsidRDefault="00A6146C">
            <w:pPr>
              <w:jc w:val="both"/>
              <w:rPr>
                <w:szCs w:val="24"/>
              </w:rPr>
            </w:pPr>
            <w:r>
              <w:rPr>
                <w:szCs w:val="24"/>
              </w:rPr>
              <w:t>– techninių specifikacijų</w:t>
            </w:r>
          </w:p>
          <w:p w:rsidR="00BD7DD7" w:rsidRDefault="00A6146C">
            <w:pPr>
              <w:jc w:val="both"/>
              <w:rPr>
                <w:szCs w:val="24"/>
              </w:rPr>
            </w:pPr>
            <w:r>
              <w:rPr>
                <w:szCs w:val="24"/>
              </w:rPr>
              <w:t>taikymas.</w:t>
            </w:r>
          </w:p>
        </w:tc>
        <w:tc>
          <w:tcPr>
            <w:tcW w:w="1794" w:type="dxa"/>
            <w:vMerge w:val="restart"/>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7.1 Tai tokie kriterijai arba sąlygos, kurie (-ios) nėra diskriminaciniai (-ės) atsižvelgiant į nacionalinius, regioninius ir (arba) vietos prioritetus, bet kuriais (-iomis) vis tiek apribojamos ekonominės veiklos vykdytojų galimybės dalyvauti konkrečioje pirkimų procedūroje, pvz., tais atvejais, kai:</w:t>
            </w:r>
          </w:p>
          <w:p w:rsidR="00BD7DD7" w:rsidRDefault="00BD7DD7">
            <w:pPr>
              <w:jc w:val="both"/>
              <w:rPr>
                <w:szCs w:val="24"/>
              </w:rPr>
            </w:pPr>
          </w:p>
          <w:p w:rsidR="00BD7DD7" w:rsidRDefault="00A6146C">
            <w:pPr>
              <w:jc w:val="both"/>
              <w:rPr>
                <w:szCs w:val="24"/>
              </w:rPr>
            </w:pPr>
            <w:r>
              <w:rPr>
                <w:szCs w:val="24"/>
              </w:rPr>
              <w:t>7.1.1.konkrečiai sutarčiai nustatyti minimalūs pajėgumai yra susiję su sutarties dalyku, bet nėra jam proporcingi;</w:t>
            </w:r>
          </w:p>
          <w:p w:rsidR="00BD7DD7" w:rsidRDefault="00A6146C">
            <w:pPr>
              <w:jc w:val="both"/>
              <w:rPr>
                <w:szCs w:val="24"/>
              </w:rPr>
            </w:pPr>
            <w:r>
              <w:rPr>
                <w:szCs w:val="24"/>
              </w:rPr>
              <w:t>7.1.2.vertinant pirkime, vykdomame konkurso ar derybų būdu  tiekėjams, atrankos kriterijai buvo taikyti kaip sutarties sudarymo kriterijai;</w:t>
            </w:r>
          </w:p>
          <w:p w:rsidR="00BD7DD7" w:rsidRDefault="00A6146C">
            <w:pPr>
              <w:jc w:val="both"/>
              <w:rPr>
                <w:szCs w:val="24"/>
              </w:rPr>
            </w:pPr>
            <w:r>
              <w:rPr>
                <w:szCs w:val="24"/>
              </w:rPr>
              <w:t>7.1.3.reikalaujama konkrečių prekių ženklų ir (arba) standartų (neleidžiant naudoti lygiaverčių prekių ženklų, nes nepateikiama privaloma nuoroda „arba lygiavertis“), nebent šie reikalavimai yra susiję su papildoma sutarties dalimi ir galimas poveikis ES biudžetui tėra formalus.</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7.2 Atvejai, kai buvo taikyti ribojami kriterijai, sąlygos ir (arba) specifikacijos, bet vis dar buvo užtikrintas minimalus konkurencijos lygis, t. y. keli ekonominės veiklos vykdytojai pateikė pasiūlymus, kurie buvo priimti ir atitiko atrankos kriterijus.</w:t>
            </w:r>
          </w:p>
        </w:tc>
        <w:tc>
          <w:tcPr>
            <w:tcW w:w="1915" w:type="dxa"/>
          </w:tcPr>
          <w:p w:rsidR="00BD7DD7" w:rsidRDefault="00A6146C">
            <w:pPr>
              <w:rPr>
                <w:szCs w:val="24"/>
              </w:rPr>
            </w:pPr>
            <w:r>
              <w:rPr>
                <w:szCs w:val="24"/>
              </w:rPr>
              <w:t>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7.3 Atvejai, kai konkrečiai sutarčiai nustatyti minimalūs pajėgumai yra akivaizdžiai nesusiję su sutarties dalyku,</w:t>
            </w:r>
          </w:p>
          <w:p w:rsidR="00BD7DD7" w:rsidRDefault="00A6146C">
            <w:pPr>
              <w:jc w:val="both"/>
              <w:rPr>
                <w:szCs w:val="24"/>
              </w:rPr>
            </w:pPr>
            <w:r>
              <w:rPr>
                <w:szCs w:val="24"/>
              </w:rPr>
              <w:t>arba</w:t>
            </w:r>
          </w:p>
          <w:p w:rsidR="00BD7DD7" w:rsidRDefault="00A6146C">
            <w:pPr>
              <w:jc w:val="both"/>
              <w:rPr>
                <w:szCs w:val="24"/>
              </w:rPr>
            </w:pPr>
            <w:r>
              <w:rPr>
                <w:szCs w:val="24"/>
              </w:rPr>
              <w:t>atvejai, kai dėl draudimo dalyvauti procedūroje, atrankos ir (arba) sutarties sudarymo kriterijų susidarė situacija, kurioje tik vienas ekonominės veiklos vykdytojas galėjo pateikti pasiūlymą ir šio rezultato negalima pagrįsti techniniu konkrečios sutarties specifiškumu.</w:t>
            </w:r>
          </w:p>
        </w:tc>
        <w:tc>
          <w:tcPr>
            <w:tcW w:w="1915" w:type="dxa"/>
          </w:tcPr>
          <w:p w:rsidR="00BD7DD7" w:rsidRDefault="00A6146C">
            <w:pPr>
              <w:rPr>
                <w:szCs w:val="24"/>
              </w:rPr>
            </w:pPr>
            <w:r>
              <w:rPr>
                <w:szCs w:val="24"/>
              </w:rPr>
              <w:t>25 %</w:t>
            </w:r>
          </w:p>
        </w:tc>
      </w:tr>
      <w:tr w:rsidR="00BD7DD7">
        <w:trPr>
          <w:gridAfter w:val="1"/>
          <w:wAfter w:w="10" w:type="dxa"/>
        </w:trPr>
        <w:tc>
          <w:tcPr>
            <w:tcW w:w="555" w:type="dxa"/>
          </w:tcPr>
          <w:p w:rsidR="00BD7DD7" w:rsidRDefault="00A6146C">
            <w:pPr>
              <w:jc w:val="center"/>
              <w:rPr>
                <w:szCs w:val="24"/>
              </w:rPr>
            </w:pPr>
            <w:r>
              <w:rPr>
                <w:szCs w:val="24"/>
              </w:rPr>
              <w:t>8.</w:t>
            </w:r>
          </w:p>
        </w:tc>
        <w:tc>
          <w:tcPr>
            <w:tcW w:w="2192" w:type="dxa"/>
          </w:tcPr>
          <w:p w:rsidR="00BD7DD7" w:rsidRDefault="00A6146C">
            <w:pPr>
              <w:jc w:val="both"/>
              <w:rPr>
                <w:szCs w:val="24"/>
              </w:rPr>
            </w:pPr>
            <w:r>
              <w:rPr>
                <w:szCs w:val="24"/>
              </w:rPr>
              <w:t>Nepakankamas arba netikslus sutarties dalyko apibrėžimas.</w:t>
            </w:r>
          </w:p>
        </w:tc>
        <w:tc>
          <w:tcPr>
            <w:tcW w:w="1794" w:type="dxa"/>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8. Kvietime pateiktas perkamo objekto aprašymas yra nepakankamas arba netikslus„ kad tiekėjai galėtų nustatyti perkamą objektą ir dėl to atsiranda atgrasomasis poveikis, galintis apriboti konkurenciją (pavyzdžiui, remiantis skundais arba pranešimais per konkursą nustatyta, kad pirkimo techninės specifikacijos yra nepakankamos ir todėl galimi pasiūlymų teikėjai negali nustatyti sutarties dalyko). Vis dėlto galimų konkurso dalyvių pateiktų klausimų skaičius pažeidimo nerodo, jei į klausimus perkančioji organizacija tinkamai atsakė) ..</w:t>
            </w:r>
          </w:p>
        </w:tc>
        <w:tc>
          <w:tcPr>
            <w:tcW w:w="1915" w:type="dxa"/>
          </w:tcPr>
          <w:p w:rsidR="00BD7DD7" w:rsidRDefault="00A6146C">
            <w:pPr>
              <w:rPr>
                <w:szCs w:val="24"/>
              </w:rPr>
            </w:pPr>
            <w:r>
              <w:rPr>
                <w:szCs w:val="24"/>
              </w:rPr>
              <w:t>10 %</w:t>
            </w:r>
          </w:p>
        </w:tc>
      </w:tr>
      <w:tr w:rsidR="00BD7DD7">
        <w:trPr>
          <w:gridAfter w:val="1"/>
          <w:wAfter w:w="10" w:type="dxa"/>
        </w:trPr>
        <w:tc>
          <w:tcPr>
            <w:tcW w:w="555" w:type="dxa"/>
          </w:tcPr>
          <w:p w:rsidR="00BD7DD7" w:rsidRDefault="00A6146C">
            <w:pPr>
              <w:jc w:val="center"/>
              <w:rPr>
                <w:szCs w:val="24"/>
              </w:rPr>
            </w:pPr>
            <w:r>
              <w:rPr>
                <w:szCs w:val="24"/>
              </w:rPr>
              <w:t>9.</w:t>
            </w:r>
          </w:p>
        </w:tc>
        <w:tc>
          <w:tcPr>
            <w:tcW w:w="2192" w:type="dxa"/>
          </w:tcPr>
          <w:p w:rsidR="00BD7DD7" w:rsidRDefault="00A6146C">
            <w:pPr>
              <w:jc w:val="both"/>
              <w:rPr>
                <w:szCs w:val="24"/>
              </w:rPr>
            </w:pPr>
            <w:r>
              <w:rPr>
                <w:szCs w:val="24"/>
              </w:rPr>
              <w:t>Nepagrįstas subrangos apribojimas.</w:t>
            </w:r>
          </w:p>
        </w:tc>
        <w:tc>
          <w:tcPr>
            <w:tcW w:w="1794" w:type="dxa"/>
          </w:tcPr>
          <w:p w:rsidR="00BD7DD7" w:rsidRDefault="00A6146C">
            <w:pPr>
              <w:jc w:val="both"/>
              <w:rPr>
                <w:szCs w:val="24"/>
              </w:rPr>
            </w:pPr>
            <w:r>
              <w:rPr>
                <w:szCs w:val="24"/>
              </w:rPr>
              <w:t>Aprašas</w:t>
            </w:r>
          </w:p>
          <w:p w:rsidR="00BD7DD7" w:rsidRDefault="00BD7DD7">
            <w:pPr>
              <w:jc w:val="both"/>
              <w:rPr>
                <w:szCs w:val="24"/>
              </w:rPr>
            </w:pPr>
          </w:p>
          <w:p w:rsidR="00BD7DD7" w:rsidRDefault="00A6146C">
            <w:pPr>
              <w:jc w:val="both"/>
              <w:rPr>
                <w:szCs w:val="24"/>
              </w:rPr>
            </w:pPr>
            <w:r>
              <w:rPr>
                <w:szCs w:val="24"/>
              </w:rPr>
              <w:t>Kas nenumatyta Apraše, taikomi bendrieji principai nustatyti VPĮ</w:t>
            </w:r>
          </w:p>
        </w:tc>
        <w:tc>
          <w:tcPr>
            <w:tcW w:w="4018" w:type="dxa"/>
          </w:tcPr>
          <w:p w:rsidR="00BD7DD7" w:rsidRDefault="00A6146C">
            <w:pPr>
              <w:jc w:val="both"/>
              <w:rPr>
                <w:szCs w:val="24"/>
              </w:rPr>
            </w:pPr>
            <w:r>
              <w:rPr>
                <w:szCs w:val="24"/>
              </w:rPr>
              <w:t>9. Kvietime ir kituose pirkimo dokumentuose (pvz., techninėse specifikacijose) nustatyti naudojimosi subrangovų paslaugomis apribojimai dėl sutarties dalies, kuri abstrakčiai nustatyta kaip procentinė šios sutarties dalis, neatsižvelgiant į galimybę patikrinti galimų subrangovų pajėgumus ir nenurodant esminių susijusių užduočių.</w:t>
            </w:r>
          </w:p>
        </w:tc>
        <w:tc>
          <w:tcPr>
            <w:tcW w:w="1915" w:type="dxa"/>
          </w:tcPr>
          <w:p w:rsidR="00BD7DD7" w:rsidRDefault="00A6146C">
            <w:pPr>
              <w:rPr>
                <w:szCs w:val="24"/>
              </w:rPr>
            </w:pPr>
            <w:r>
              <w:rPr>
                <w:szCs w:val="24"/>
              </w:rPr>
              <w:t>5 %</w:t>
            </w:r>
          </w:p>
        </w:tc>
      </w:tr>
      <w:tr w:rsidR="00BD7DD7">
        <w:trPr>
          <w:gridAfter w:val="1"/>
          <w:wAfter w:w="10" w:type="dxa"/>
        </w:trPr>
        <w:tc>
          <w:tcPr>
            <w:tcW w:w="10474" w:type="dxa"/>
            <w:gridSpan w:val="5"/>
          </w:tcPr>
          <w:p w:rsidR="00BD7DD7" w:rsidRDefault="00A6146C">
            <w:pPr>
              <w:jc w:val="both"/>
              <w:rPr>
                <w:szCs w:val="24"/>
              </w:rPr>
            </w:pPr>
            <w:r>
              <w:rPr>
                <w:b/>
                <w:bCs/>
                <w:szCs w:val="24"/>
              </w:rPr>
              <w:t>Konkurso dalyvių atranka ir pasiūlymų vertinimas</w:t>
            </w:r>
          </w:p>
        </w:tc>
      </w:tr>
      <w:tr w:rsidR="00BD7DD7">
        <w:trPr>
          <w:gridAfter w:val="1"/>
          <w:wAfter w:w="10" w:type="dxa"/>
        </w:trPr>
        <w:tc>
          <w:tcPr>
            <w:tcW w:w="555" w:type="dxa"/>
          </w:tcPr>
          <w:p w:rsidR="00BD7DD7" w:rsidRDefault="00A6146C">
            <w:pPr>
              <w:jc w:val="center"/>
              <w:rPr>
                <w:szCs w:val="24"/>
              </w:rPr>
            </w:pPr>
            <w:r>
              <w:rPr>
                <w:szCs w:val="24"/>
              </w:rPr>
              <w:t>10.</w:t>
            </w:r>
          </w:p>
        </w:tc>
        <w:tc>
          <w:tcPr>
            <w:tcW w:w="2192" w:type="dxa"/>
          </w:tcPr>
          <w:p w:rsidR="00BD7DD7" w:rsidRDefault="00A6146C">
            <w:pPr>
              <w:jc w:val="both"/>
              <w:rPr>
                <w:szCs w:val="24"/>
              </w:rPr>
            </w:pPr>
            <w:r>
              <w:rPr>
                <w:szCs w:val="24"/>
              </w:rPr>
              <w:t xml:space="preserve">Atrankos kriterijų (arba techninių specifikacijų) pakeitimas atplėšus vokus su pasiūlymais arba </w:t>
            </w:r>
            <w:r>
              <w:rPr>
                <w:szCs w:val="24"/>
              </w:rPr>
              <w:lastRenderedPageBreak/>
              <w:t>netinkamas taikymas.</w:t>
            </w:r>
          </w:p>
        </w:tc>
        <w:tc>
          <w:tcPr>
            <w:tcW w:w="1794" w:type="dxa"/>
          </w:tcPr>
          <w:p w:rsidR="00BD7DD7" w:rsidRDefault="00A6146C">
            <w:pPr>
              <w:jc w:val="both"/>
              <w:rPr>
                <w:szCs w:val="24"/>
              </w:rPr>
            </w:pPr>
            <w:r>
              <w:rPr>
                <w:szCs w:val="24"/>
              </w:rPr>
              <w:lastRenderedPageBreak/>
              <w:t>Aprašas</w:t>
            </w:r>
          </w:p>
        </w:tc>
        <w:tc>
          <w:tcPr>
            <w:tcW w:w="4018" w:type="dxa"/>
          </w:tcPr>
          <w:p w:rsidR="00BD7DD7" w:rsidRDefault="00A6146C">
            <w:pPr>
              <w:jc w:val="both"/>
              <w:rPr>
                <w:szCs w:val="24"/>
              </w:rPr>
            </w:pPr>
            <w:r>
              <w:rPr>
                <w:szCs w:val="24"/>
              </w:rPr>
              <w:t xml:space="preserve">10.  Tiekėjų, kvalifikacijos vertinimo kriterijai (kai taikomi) (arba techninė specifikacija) buvo pakeisti arba netinkamai taikomi tiekėjų pasiūlymų vertinimo metu, siekiant, kad reikalavimo neatitikęs pasiūlymas būtų </w:t>
            </w:r>
            <w:r>
              <w:rPr>
                <w:szCs w:val="24"/>
              </w:rPr>
              <w:lastRenderedPageBreak/>
              <w:t xml:space="preserve">pripažintas tinkamu, arba siekiant atmesti pasiūlymus, kurie turėtų būti priimti pagal nustatytus vertinimo kriterijus (nebent NPO gali aiškiai įrodyti, kad atmestas pasiūlymas bet kuriuo atveju nebūtų buvęs sėkmingas ir kad todėl pažeidimas neturėjo finansinio poveikio).  </w:t>
            </w:r>
          </w:p>
        </w:tc>
        <w:tc>
          <w:tcPr>
            <w:tcW w:w="1915" w:type="dxa"/>
          </w:tcPr>
          <w:p w:rsidR="00BD7DD7" w:rsidRDefault="00A6146C">
            <w:pPr>
              <w:rPr>
                <w:szCs w:val="24"/>
              </w:rPr>
            </w:pPr>
            <w:r>
              <w:rPr>
                <w:szCs w:val="24"/>
              </w:rPr>
              <w:lastRenderedPageBreak/>
              <w:t>25 %</w:t>
            </w:r>
          </w:p>
        </w:tc>
      </w:tr>
      <w:tr w:rsidR="00BD7DD7">
        <w:trPr>
          <w:gridAfter w:val="1"/>
          <w:wAfter w:w="10" w:type="dxa"/>
        </w:trPr>
        <w:tc>
          <w:tcPr>
            <w:tcW w:w="555" w:type="dxa"/>
            <w:vMerge w:val="restart"/>
          </w:tcPr>
          <w:p w:rsidR="00BD7DD7" w:rsidRDefault="00A6146C">
            <w:pPr>
              <w:jc w:val="center"/>
              <w:rPr>
                <w:szCs w:val="24"/>
              </w:rPr>
            </w:pPr>
            <w:r>
              <w:rPr>
                <w:szCs w:val="24"/>
              </w:rPr>
              <w:t>11.</w:t>
            </w:r>
          </w:p>
        </w:tc>
        <w:tc>
          <w:tcPr>
            <w:tcW w:w="2192" w:type="dxa"/>
            <w:vMerge w:val="restart"/>
          </w:tcPr>
          <w:p w:rsidR="00BD7DD7" w:rsidRDefault="00A6146C">
            <w:pPr>
              <w:jc w:val="both"/>
              <w:rPr>
                <w:szCs w:val="24"/>
              </w:rPr>
            </w:pPr>
            <w:r>
              <w:rPr>
                <w:szCs w:val="24"/>
              </w:rPr>
              <w:t xml:space="preserve">Pasiūlymų vertinimas taikant kitus, nei nurodyti Skelbime, Kvietime arba techninėse specifikacijose, sutarties sudarymo kriterijus </w:t>
            </w:r>
          </w:p>
          <w:p w:rsidR="00BD7DD7" w:rsidRDefault="00A6146C">
            <w:pPr>
              <w:jc w:val="both"/>
              <w:rPr>
                <w:b/>
                <w:bCs/>
                <w:szCs w:val="24"/>
              </w:rPr>
            </w:pPr>
            <w:r>
              <w:rPr>
                <w:b/>
                <w:bCs/>
                <w:szCs w:val="24"/>
              </w:rPr>
              <w:t>arba</w:t>
            </w:r>
          </w:p>
          <w:p w:rsidR="00BD7DD7" w:rsidRDefault="00A6146C">
            <w:pPr>
              <w:ind w:firstLine="62"/>
              <w:jc w:val="both"/>
              <w:rPr>
                <w:szCs w:val="24"/>
              </w:rPr>
            </w:pPr>
            <w:r>
              <w:rPr>
                <w:szCs w:val="24"/>
              </w:rPr>
              <w:t>vertinimas taikant papildomus nepaskelbtus sutarties sudarymo kriterijus.</w:t>
            </w:r>
          </w:p>
        </w:tc>
        <w:tc>
          <w:tcPr>
            <w:tcW w:w="1794" w:type="dxa"/>
            <w:vMerge w:val="restart"/>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 xml:space="preserve">11.1. Vertinant pateiktus tiekėjų pasiūlymus nebuvo taikomos Kvietime ir kituose pirkimo dokumentuose nustatytos pirkimo sutarčių sudarymo sąlygos </w:t>
            </w:r>
          </w:p>
          <w:p w:rsidR="00BD7DD7" w:rsidRDefault="00A6146C">
            <w:pPr>
              <w:jc w:val="both"/>
              <w:rPr>
                <w:szCs w:val="24"/>
              </w:rPr>
            </w:pPr>
            <w:r>
              <w:rPr>
                <w:szCs w:val="24"/>
              </w:rPr>
              <w:t>11.2. Buvo taikyti papildomi, Kvietime ir kituose pirkimo dokumentuose nenustatyti reikalavimai.</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11.3. Jei 11.2 ir 11.2 papunkčiuose nurodyti atvejai turėjo diskriminuojamą poveikį (remiantis nepagrįstais nacionaliniais, regioniniais ir (arba) vietos prioritetais), pažeidimas yra sunkus.</w:t>
            </w:r>
          </w:p>
        </w:tc>
        <w:tc>
          <w:tcPr>
            <w:tcW w:w="1915" w:type="dxa"/>
          </w:tcPr>
          <w:p w:rsidR="00BD7DD7" w:rsidRDefault="00A6146C">
            <w:pPr>
              <w:rPr>
                <w:szCs w:val="24"/>
              </w:rPr>
            </w:pPr>
            <w:r>
              <w:rPr>
                <w:szCs w:val="24"/>
              </w:rPr>
              <w:t>25 %</w:t>
            </w:r>
          </w:p>
        </w:tc>
      </w:tr>
      <w:tr w:rsidR="00BD7DD7">
        <w:trPr>
          <w:gridAfter w:val="1"/>
          <w:wAfter w:w="10" w:type="dxa"/>
          <w:trHeight w:val="1771"/>
        </w:trPr>
        <w:tc>
          <w:tcPr>
            <w:tcW w:w="555" w:type="dxa"/>
          </w:tcPr>
          <w:p w:rsidR="00BD7DD7" w:rsidRDefault="00A6146C">
            <w:pPr>
              <w:jc w:val="center"/>
              <w:rPr>
                <w:szCs w:val="24"/>
              </w:rPr>
            </w:pPr>
            <w:r>
              <w:rPr>
                <w:szCs w:val="24"/>
              </w:rPr>
              <w:t>12.</w:t>
            </w:r>
          </w:p>
        </w:tc>
        <w:tc>
          <w:tcPr>
            <w:tcW w:w="2192" w:type="dxa"/>
          </w:tcPr>
          <w:p w:rsidR="00BD7DD7" w:rsidRDefault="00A6146C">
            <w:pPr>
              <w:jc w:val="both"/>
              <w:rPr>
                <w:szCs w:val="24"/>
              </w:rPr>
            </w:pPr>
            <w:r>
              <w:rPr>
                <w:szCs w:val="24"/>
              </w:rPr>
              <w:t>Nepakankama sutarties sudarymo audito seka .</w:t>
            </w:r>
          </w:p>
        </w:tc>
        <w:tc>
          <w:tcPr>
            <w:tcW w:w="1794" w:type="dxa"/>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12.1.  Skaidrumo neužtikrinimas, kai pasibaigus pirkimui pirkimų ataskaita su  reikiamais dokumentais, kaip nustatyta Aprašo 28 punkte, nepaskelbiama PVP, todėl  nepakanka dokumentų pirkimo sutarties sudarymui pagrįsti</w:t>
            </w:r>
          </w:p>
          <w:p w:rsidR="00BD7DD7" w:rsidRDefault="00BD7DD7">
            <w:pPr>
              <w:jc w:val="both"/>
              <w:rPr>
                <w:szCs w:val="24"/>
              </w:rPr>
            </w:pPr>
          </w:p>
        </w:tc>
        <w:tc>
          <w:tcPr>
            <w:tcW w:w="1915" w:type="dxa"/>
          </w:tcPr>
          <w:p w:rsidR="00BD7DD7" w:rsidRDefault="00A6146C">
            <w:pPr>
              <w:rPr>
                <w:szCs w:val="24"/>
              </w:rPr>
            </w:pPr>
            <w:r>
              <w:rPr>
                <w:szCs w:val="24"/>
              </w:rPr>
              <w:t>25 %</w:t>
            </w:r>
          </w:p>
          <w:p w:rsidR="00BD7DD7" w:rsidRDefault="00BD7DD7">
            <w:pPr>
              <w:rPr>
                <w:szCs w:val="24"/>
              </w:rPr>
            </w:pPr>
          </w:p>
        </w:tc>
      </w:tr>
      <w:tr w:rsidR="00BD7DD7">
        <w:trPr>
          <w:gridAfter w:val="1"/>
          <w:wAfter w:w="10" w:type="dxa"/>
          <w:trHeight w:val="562"/>
        </w:trPr>
        <w:tc>
          <w:tcPr>
            <w:tcW w:w="555" w:type="dxa"/>
            <w:vMerge w:val="restart"/>
          </w:tcPr>
          <w:p w:rsidR="00BD7DD7" w:rsidRDefault="00A6146C">
            <w:pPr>
              <w:jc w:val="center"/>
              <w:rPr>
                <w:szCs w:val="24"/>
              </w:rPr>
            </w:pPr>
            <w:r>
              <w:rPr>
                <w:szCs w:val="24"/>
              </w:rPr>
              <w:t>13.</w:t>
            </w:r>
          </w:p>
        </w:tc>
        <w:tc>
          <w:tcPr>
            <w:tcW w:w="2192" w:type="dxa"/>
            <w:vMerge w:val="restart"/>
          </w:tcPr>
          <w:p w:rsidR="00BD7DD7" w:rsidRDefault="00A6146C">
            <w:pPr>
              <w:jc w:val="both"/>
              <w:rPr>
                <w:szCs w:val="24"/>
              </w:rPr>
            </w:pPr>
            <w:r>
              <w:rPr>
                <w:szCs w:val="24"/>
              </w:rPr>
              <w:t>Esminių Skelbime, Kvietime (pirkimo sąlygų apraše)nustatytų sąlygų pakeitimai arba neteisėtas pirkimas iš vieno tiekėjo.</w:t>
            </w:r>
          </w:p>
        </w:tc>
        <w:tc>
          <w:tcPr>
            <w:tcW w:w="1794" w:type="dxa"/>
            <w:vMerge w:val="restart"/>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 xml:space="preserve">13.1 NPO leido tiekėjams pakeisti savo pasiūlymą pasiūlymų vertinimo metu, jei dėl šio pakeitimo šiam tiekėjui skiriama sutartis (Išskyrus pirkimą derybų būdu, laikantis Aprašo 17 punkte nustatytų reikalavimų). </w:t>
            </w:r>
          </w:p>
        </w:tc>
        <w:tc>
          <w:tcPr>
            <w:tcW w:w="1915" w:type="dxa"/>
            <w:vMerge w:val="restart"/>
          </w:tcPr>
          <w:p w:rsidR="00BD7DD7" w:rsidRDefault="00A6146C">
            <w:pPr>
              <w:rPr>
                <w:szCs w:val="24"/>
              </w:rPr>
            </w:pPr>
            <w:r>
              <w:rPr>
                <w:szCs w:val="24"/>
              </w:rPr>
              <w:t>25 %</w:t>
            </w:r>
          </w:p>
        </w:tc>
      </w:tr>
      <w:tr w:rsidR="00BD7DD7">
        <w:trPr>
          <w:gridAfter w:val="1"/>
          <w:wAfter w:w="10" w:type="dxa"/>
          <w:trHeight w:val="1035"/>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13.2. Vykdant pirkimą pagal Aprašo 21.1 papunktį pakeistos pirminės  pirkimo  sąlygos.</w:t>
            </w:r>
          </w:p>
        </w:tc>
        <w:tc>
          <w:tcPr>
            <w:tcW w:w="1915" w:type="dxa"/>
            <w:vMerge/>
          </w:tcPr>
          <w:p w:rsidR="00BD7DD7" w:rsidRDefault="00BD7DD7">
            <w:pPr>
              <w:rPr>
                <w:szCs w:val="24"/>
              </w:rPr>
            </w:pPr>
          </w:p>
        </w:tc>
      </w:tr>
      <w:tr w:rsidR="00BD7DD7">
        <w:trPr>
          <w:gridAfter w:val="1"/>
          <w:wAfter w:w="10" w:type="dxa"/>
          <w:trHeight w:val="802"/>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13.3. vykdant pirkimą iš vieno tiekėjo nesilaikyta sąlygų, nurodytų Aprašo 21.2–21.6 papunkčiuose.</w:t>
            </w:r>
          </w:p>
        </w:tc>
        <w:tc>
          <w:tcPr>
            <w:tcW w:w="1915" w:type="dxa"/>
            <w:vMerge/>
          </w:tcPr>
          <w:p w:rsidR="00BD7DD7" w:rsidRDefault="00BD7DD7">
            <w:pPr>
              <w:rPr>
                <w:szCs w:val="24"/>
              </w:rPr>
            </w:pPr>
          </w:p>
        </w:tc>
      </w:tr>
      <w:tr w:rsidR="00BD7DD7">
        <w:trPr>
          <w:gridAfter w:val="1"/>
          <w:wAfter w:w="10" w:type="dxa"/>
        </w:trPr>
        <w:tc>
          <w:tcPr>
            <w:tcW w:w="555" w:type="dxa"/>
          </w:tcPr>
          <w:p w:rsidR="00BD7DD7" w:rsidRDefault="00A6146C">
            <w:pPr>
              <w:jc w:val="center"/>
              <w:rPr>
                <w:szCs w:val="24"/>
              </w:rPr>
            </w:pPr>
            <w:r>
              <w:rPr>
                <w:szCs w:val="24"/>
              </w:rPr>
              <w:t>14.</w:t>
            </w:r>
          </w:p>
        </w:tc>
        <w:tc>
          <w:tcPr>
            <w:tcW w:w="2192" w:type="dxa"/>
          </w:tcPr>
          <w:p w:rsidR="00BD7DD7" w:rsidRDefault="00A6146C">
            <w:pPr>
              <w:jc w:val="both"/>
              <w:rPr>
                <w:szCs w:val="24"/>
              </w:rPr>
            </w:pPr>
            <w:r>
              <w:rPr>
                <w:szCs w:val="24"/>
              </w:rPr>
              <w:t>Interesų konfliktas, turintis poveikį pirkimo procedūros rezultatui.</w:t>
            </w:r>
          </w:p>
        </w:tc>
        <w:tc>
          <w:tcPr>
            <w:tcW w:w="1794" w:type="dxa"/>
          </w:tcPr>
          <w:p w:rsidR="00BD7DD7" w:rsidRDefault="00A6146C">
            <w:pPr>
              <w:jc w:val="both"/>
              <w:rPr>
                <w:szCs w:val="24"/>
              </w:rPr>
            </w:pPr>
            <w:r>
              <w:rPr>
                <w:szCs w:val="24"/>
              </w:rPr>
              <w:t>Aprašas</w:t>
            </w:r>
          </w:p>
        </w:tc>
        <w:tc>
          <w:tcPr>
            <w:tcW w:w="4018" w:type="dxa"/>
          </w:tcPr>
          <w:p w:rsidR="00BD7DD7" w:rsidRDefault="00A6146C">
            <w:pPr>
              <w:jc w:val="both"/>
              <w:rPr>
                <w:szCs w:val="24"/>
              </w:rPr>
            </w:pPr>
            <w:r>
              <w:rPr>
                <w:szCs w:val="24"/>
              </w:rPr>
              <w:t xml:space="preserve">14.1.. Pirkimų vykdytojai, kurie dalyvauja vykdant pirkimo procedūrą arba gali padaryti poveikį tos procedūros rezultatams, turi tiesioginį arba netiesioginį finansinį, ekonominį ar kitokį asmeninį suinteresuotumą, kuris galėtų būti laikomas kenkiančiu jų nešališkumui ir nepriklausomumui vykstant pirkimo procedūrai ir </w:t>
            </w:r>
            <w:r>
              <w:rPr>
                <w:szCs w:val="24"/>
              </w:rPr>
              <w:lastRenderedPageBreak/>
              <w:t xml:space="preserve">susijusiam tiekėjui pavyko užsitikrinti atitinkamą pirkimų sutartį. Interesų konfliktas gali kilti jau pirkimo sąlygų aprašo projekto rengimo etape, jei jo rengimas turėjo įtakos pirkimo dokumentams ir (arba) pirkimo procedūrai.  </w:t>
            </w:r>
          </w:p>
        </w:tc>
        <w:tc>
          <w:tcPr>
            <w:tcW w:w="1915" w:type="dxa"/>
          </w:tcPr>
          <w:p w:rsidR="00BD7DD7" w:rsidRDefault="00A6146C">
            <w:pPr>
              <w:rPr>
                <w:szCs w:val="24"/>
              </w:rPr>
            </w:pPr>
            <w:r>
              <w:rPr>
                <w:szCs w:val="24"/>
              </w:rPr>
              <w:lastRenderedPageBreak/>
              <w:t>100 %</w:t>
            </w:r>
          </w:p>
        </w:tc>
      </w:tr>
      <w:tr w:rsidR="00BD7DD7">
        <w:trPr>
          <w:gridAfter w:val="1"/>
          <w:wAfter w:w="10" w:type="dxa"/>
        </w:trPr>
        <w:tc>
          <w:tcPr>
            <w:tcW w:w="555" w:type="dxa"/>
            <w:vMerge w:val="restart"/>
          </w:tcPr>
          <w:p w:rsidR="00BD7DD7" w:rsidRDefault="00A6146C">
            <w:pPr>
              <w:jc w:val="center"/>
              <w:rPr>
                <w:szCs w:val="24"/>
              </w:rPr>
            </w:pPr>
            <w:r>
              <w:rPr>
                <w:szCs w:val="24"/>
              </w:rPr>
              <w:t>15.</w:t>
            </w:r>
          </w:p>
        </w:tc>
        <w:tc>
          <w:tcPr>
            <w:tcW w:w="2192" w:type="dxa"/>
            <w:vMerge w:val="restart"/>
          </w:tcPr>
          <w:p w:rsidR="00BD7DD7" w:rsidRDefault="00A6146C">
            <w:pPr>
              <w:jc w:val="both"/>
              <w:rPr>
                <w:szCs w:val="24"/>
              </w:rPr>
            </w:pPr>
            <w:r>
              <w:rPr>
                <w:szCs w:val="24"/>
              </w:rPr>
              <w:t>Pirkimo klastojimas (kurį nustatė Lietuvos Respublikos konkurencijos, taryba, teismo arba kita kompetentinga įstaiga).</w:t>
            </w:r>
          </w:p>
        </w:tc>
        <w:tc>
          <w:tcPr>
            <w:tcW w:w="1794" w:type="dxa"/>
            <w:vMerge w:val="restart"/>
          </w:tcPr>
          <w:p w:rsidR="00BD7DD7" w:rsidRDefault="00A6146C">
            <w:pPr>
              <w:jc w:val="both"/>
              <w:rPr>
                <w:szCs w:val="24"/>
              </w:rPr>
            </w:pPr>
            <w:r>
              <w:rPr>
                <w:szCs w:val="24"/>
              </w:rPr>
              <w:t>Aprašas</w:t>
            </w:r>
          </w:p>
          <w:p w:rsidR="00BD7DD7" w:rsidRDefault="00BD7DD7">
            <w:pPr>
              <w:jc w:val="both"/>
              <w:rPr>
                <w:szCs w:val="24"/>
              </w:rPr>
            </w:pPr>
          </w:p>
          <w:p w:rsidR="00BD7DD7" w:rsidRDefault="00A6146C">
            <w:pPr>
              <w:jc w:val="both"/>
              <w:rPr>
                <w:szCs w:val="24"/>
              </w:rPr>
            </w:pPr>
            <w:r>
              <w:rPr>
                <w:szCs w:val="24"/>
              </w:rPr>
              <w:t>Kas nenumatyta Apraše, taikomi bendrieji principai nustatyti VPĮ</w:t>
            </w:r>
          </w:p>
        </w:tc>
        <w:tc>
          <w:tcPr>
            <w:tcW w:w="4018" w:type="dxa"/>
          </w:tcPr>
          <w:p w:rsidR="00BD7DD7" w:rsidRDefault="00A6146C">
            <w:pPr>
              <w:jc w:val="both"/>
              <w:rPr>
                <w:szCs w:val="24"/>
              </w:rPr>
            </w:pPr>
            <w:r>
              <w:rPr>
                <w:szCs w:val="24"/>
              </w:rPr>
              <w:t>15.1.1. Pirkimą klastoję dalyviai veikė be valdymo ir kontrolės sistemoje (tarpinės institucijos) arba NPO dirbančio asmens pagalbos ir pirkimą klastojančiai įmonei nepavyko užsitikrinti atitinkamos (-ų) sutarties (-ių).</w:t>
            </w:r>
          </w:p>
        </w:tc>
        <w:tc>
          <w:tcPr>
            <w:tcW w:w="1915" w:type="dxa"/>
          </w:tcPr>
          <w:p w:rsidR="00BD7DD7" w:rsidRDefault="00A6146C">
            <w:pPr>
              <w:rPr>
                <w:szCs w:val="24"/>
              </w:rPr>
            </w:pPr>
            <w:r>
              <w:rPr>
                <w:szCs w:val="24"/>
              </w:rPr>
              <w:t>10 %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15.1.2 Jei pirkimo procedūroje dalyvavo tik slapta bendradarbiavusios įmonės (tiekėjai ir NPO), kai konkurencija sumažinta smarkiai.</w:t>
            </w:r>
          </w:p>
        </w:tc>
        <w:tc>
          <w:tcPr>
            <w:tcW w:w="1915" w:type="dxa"/>
          </w:tcPr>
          <w:p w:rsidR="00BD7DD7" w:rsidRDefault="00A6146C">
            <w:pPr>
              <w:rPr>
                <w:szCs w:val="24"/>
              </w:rPr>
            </w:pPr>
            <w:r>
              <w:rPr>
                <w:szCs w:val="24"/>
              </w:rPr>
              <w:t>25 %</w:t>
            </w:r>
          </w:p>
        </w:tc>
      </w:tr>
      <w:tr w:rsidR="00BD7DD7">
        <w:trPr>
          <w:gridAfter w:val="1"/>
          <w:wAfter w:w="10" w:type="dxa"/>
        </w:trPr>
        <w:tc>
          <w:tcPr>
            <w:tcW w:w="555" w:type="dxa"/>
            <w:vMerge/>
          </w:tcPr>
          <w:p w:rsidR="00BD7DD7" w:rsidRDefault="00BD7DD7">
            <w:pPr>
              <w:jc w:val="center"/>
              <w:rPr>
                <w:szCs w:val="24"/>
              </w:rPr>
            </w:pPr>
          </w:p>
        </w:tc>
        <w:tc>
          <w:tcPr>
            <w:tcW w:w="2192" w:type="dxa"/>
            <w:vMerge/>
          </w:tcPr>
          <w:p w:rsidR="00BD7DD7" w:rsidRDefault="00BD7DD7">
            <w:pPr>
              <w:jc w:val="both"/>
              <w:rPr>
                <w:szCs w:val="24"/>
              </w:rPr>
            </w:pPr>
          </w:p>
        </w:tc>
        <w:tc>
          <w:tcPr>
            <w:tcW w:w="1794" w:type="dxa"/>
            <w:vMerge/>
          </w:tcPr>
          <w:p w:rsidR="00BD7DD7" w:rsidRDefault="00BD7DD7">
            <w:pPr>
              <w:jc w:val="both"/>
              <w:rPr>
                <w:szCs w:val="24"/>
              </w:rPr>
            </w:pPr>
          </w:p>
        </w:tc>
        <w:tc>
          <w:tcPr>
            <w:tcW w:w="4018" w:type="dxa"/>
          </w:tcPr>
          <w:p w:rsidR="00BD7DD7" w:rsidRDefault="00A6146C">
            <w:pPr>
              <w:jc w:val="both"/>
              <w:rPr>
                <w:szCs w:val="24"/>
              </w:rPr>
            </w:pPr>
            <w:r>
              <w:rPr>
                <w:szCs w:val="24"/>
              </w:rPr>
              <w:t>15.2 Valdymo ir kontrolės sistemoje (tarpinės institucijos)  arba NPO dirbantis asmuo dalyvavo klastojant pirkimą, padėdamas pirkimą klastojantiems konkurso dalyviams, ir pirkimą klastojusiai įmonei pavyko užsitikrinti atitinkamą (-as) sutartį (-is).</w:t>
            </w:r>
          </w:p>
          <w:p w:rsidR="00BD7DD7" w:rsidRDefault="00BD7DD7">
            <w:pPr>
              <w:jc w:val="both"/>
              <w:rPr>
                <w:szCs w:val="24"/>
              </w:rPr>
            </w:pPr>
          </w:p>
          <w:p w:rsidR="00BD7DD7" w:rsidRDefault="00A6146C">
            <w:pPr>
              <w:jc w:val="both"/>
              <w:rPr>
                <w:szCs w:val="24"/>
              </w:rPr>
            </w:pPr>
            <w:r>
              <w:rPr>
                <w:szCs w:val="24"/>
              </w:rPr>
              <w:t>Šiuo atveju valdymo ir kontrolės sistemoje dirbantis asmuo, padėdamas viešąjį pirkimą klastojančioms įmonėms arba NPO, elgėsi sukčiaujamai ir (arba) jo atžvilgiu kilo interesų konfliktas.</w:t>
            </w:r>
          </w:p>
        </w:tc>
        <w:tc>
          <w:tcPr>
            <w:tcW w:w="1915" w:type="dxa"/>
          </w:tcPr>
          <w:p w:rsidR="00BD7DD7" w:rsidRDefault="00A6146C">
            <w:pPr>
              <w:rPr>
                <w:szCs w:val="24"/>
              </w:rPr>
            </w:pPr>
            <w:r>
              <w:rPr>
                <w:szCs w:val="24"/>
              </w:rPr>
              <w:t>100 %</w:t>
            </w:r>
          </w:p>
        </w:tc>
      </w:tr>
      <w:tr w:rsidR="00BD7DD7">
        <w:trPr>
          <w:gridAfter w:val="1"/>
          <w:wAfter w:w="10" w:type="dxa"/>
        </w:trPr>
        <w:tc>
          <w:tcPr>
            <w:tcW w:w="10474" w:type="dxa"/>
            <w:gridSpan w:val="5"/>
          </w:tcPr>
          <w:p w:rsidR="00BD7DD7" w:rsidRDefault="00A6146C">
            <w:pPr>
              <w:jc w:val="both"/>
              <w:rPr>
                <w:szCs w:val="24"/>
              </w:rPr>
            </w:pPr>
            <w:r>
              <w:rPr>
                <w:b/>
                <w:bCs/>
                <w:szCs w:val="24"/>
              </w:rPr>
              <w:t>Sutarties vykdymas</w:t>
            </w:r>
          </w:p>
        </w:tc>
      </w:tr>
      <w:tr w:rsidR="00BD7DD7">
        <w:trPr>
          <w:gridAfter w:val="1"/>
          <w:wAfter w:w="10" w:type="dxa"/>
        </w:trPr>
        <w:tc>
          <w:tcPr>
            <w:tcW w:w="555" w:type="dxa"/>
            <w:vMerge w:val="restart"/>
          </w:tcPr>
          <w:p w:rsidR="00BD7DD7" w:rsidRDefault="00A6146C">
            <w:pPr>
              <w:jc w:val="center"/>
              <w:rPr>
                <w:szCs w:val="24"/>
              </w:rPr>
            </w:pPr>
            <w:r>
              <w:rPr>
                <w:szCs w:val="24"/>
              </w:rPr>
              <w:t>16.</w:t>
            </w:r>
          </w:p>
        </w:tc>
        <w:tc>
          <w:tcPr>
            <w:tcW w:w="2192" w:type="dxa"/>
            <w:vMerge w:val="restart"/>
          </w:tcPr>
          <w:p w:rsidR="00BD7DD7" w:rsidRDefault="00A6146C">
            <w:pPr>
              <w:jc w:val="both"/>
              <w:rPr>
                <w:szCs w:val="24"/>
              </w:rPr>
            </w:pPr>
            <w:r>
              <w:rPr>
                <w:szCs w:val="24"/>
              </w:rPr>
              <w:t>Skelbime, Kvietime ar kituose pirkimo dokumentuose nustatytų sutarties elementų pakeitimai.</w:t>
            </w:r>
          </w:p>
        </w:tc>
        <w:tc>
          <w:tcPr>
            <w:tcW w:w="1794" w:type="dxa"/>
            <w:vMerge w:val="restart"/>
          </w:tcPr>
          <w:p w:rsidR="00BD7DD7" w:rsidRDefault="00A6146C">
            <w:pPr>
              <w:jc w:val="both"/>
              <w:rPr>
                <w:szCs w:val="24"/>
              </w:rPr>
            </w:pPr>
            <w:r>
              <w:rPr>
                <w:szCs w:val="24"/>
              </w:rPr>
              <w:t>Aprašas</w:t>
            </w:r>
          </w:p>
          <w:p w:rsidR="00BD7DD7" w:rsidRDefault="00BD7DD7">
            <w:pPr>
              <w:jc w:val="both"/>
              <w:rPr>
                <w:szCs w:val="24"/>
              </w:rPr>
            </w:pPr>
          </w:p>
          <w:p w:rsidR="00BD7DD7" w:rsidRDefault="00A6146C">
            <w:pPr>
              <w:jc w:val="both"/>
              <w:rPr>
                <w:szCs w:val="24"/>
              </w:rPr>
            </w:pPr>
            <w:r>
              <w:rPr>
                <w:szCs w:val="24"/>
              </w:rPr>
              <w:t>Kas nenumatyta Apraše, taikomi bendrieji principai nustatyti VPĮ</w:t>
            </w:r>
          </w:p>
        </w:tc>
        <w:tc>
          <w:tcPr>
            <w:tcW w:w="4018" w:type="dxa"/>
          </w:tcPr>
          <w:p w:rsidR="00BD7DD7" w:rsidRDefault="00A6146C">
            <w:pPr>
              <w:jc w:val="both"/>
              <w:rPr>
                <w:szCs w:val="24"/>
              </w:rPr>
            </w:pPr>
            <w:r>
              <w:rPr>
                <w:szCs w:val="24"/>
              </w:rPr>
              <w:t>16.1 Pirkimas atliktas įvykdžius tinkamas pirkimo procedūras, tačiau pagrindinė pirkimo sutartis ar vėliau atlikti jos pakeitimai, nepriklausomai vienas ar daugiau (taip pat nepriklausomai nuo to, ar jie buvo įforminti raštu) sudaryti nesilaikant reikalavimų nustatytų Aprašo II skyriaus III ir V skirsniuose nustatytų reikalavimų.</w:t>
            </w:r>
          </w:p>
        </w:tc>
        <w:tc>
          <w:tcPr>
            <w:tcW w:w="1915" w:type="dxa"/>
          </w:tcPr>
          <w:p w:rsidR="00BD7DD7" w:rsidRDefault="00A6146C">
            <w:pPr>
              <w:rPr>
                <w:szCs w:val="24"/>
              </w:rPr>
            </w:pPr>
            <w:r>
              <w:rPr>
                <w:szCs w:val="24"/>
              </w:rPr>
              <w:t>25 % pradinės sutarties ir naujų dėl pakeitimų atsiradusių darbų, prekių ir (arba) paslaugų (jei taikoma).</w:t>
            </w:r>
          </w:p>
        </w:tc>
      </w:tr>
      <w:tr w:rsidR="00BD7DD7">
        <w:trPr>
          <w:gridAfter w:val="1"/>
          <w:wAfter w:w="10" w:type="dxa"/>
          <w:trHeight w:val="1353"/>
        </w:trPr>
        <w:tc>
          <w:tcPr>
            <w:tcW w:w="555" w:type="dxa"/>
            <w:vMerge/>
          </w:tcPr>
          <w:p w:rsidR="00BD7DD7" w:rsidRDefault="00BD7DD7">
            <w:pPr>
              <w:rPr>
                <w:szCs w:val="24"/>
              </w:rPr>
            </w:pPr>
          </w:p>
        </w:tc>
        <w:tc>
          <w:tcPr>
            <w:tcW w:w="2192" w:type="dxa"/>
            <w:vMerge/>
          </w:tcPr>
          <w:p w:rsidR="00BD7DD7" w:rsidRDefault="00BD7DD7">
            <w:pPr>
              <w:rPr>
                <w:szCs w:val="24"/>
              </w:rPr>
            </w:pPr>
          </w:p>
        </w:tc>
        <w:tc>
          <w:tcPr>
            <w:tcW w:w="1794" w:type="dxa"/>
            <w:vMerge/>
          </w:tcPr>
          <w:p w:rsidR="00BD7DD7" w:rsidRDefault="00BD7DD7">
            <w:pPr>
              <w:rPr>
                <w:szCs w:val="24"/>
              </w:rPr>
            </w:pPr>
          </w:p>
        </w:tc>
        <w:tc>
          <w:tcPr>
            <w:tcW w:w="4018" w:type="dxa"/>
          </w:tcPr>
          <w:p w:rsidR="00BD7DD7" w:rsidRDefault="00A6146C">
            <w:pPr>
              <w:jc w:val="both"/>
              <w:rPr>
                <w:szCs w:val="24"/>
              </w:rPr>
            </w:pPr>
            <w:r>
              <w:rPr>
                <w:szCs w:val="24"/>
              </w:rPr>
              <w:t>16.3. Bet koks kainos padidėjimas, viršijantis 50 % pradinės sutarties vertės.</w:t>
            </w:r>
          </w:p>
        </w:tc>
        <w:tc>
          <w:tcPr>
            <w:tcW w:w="1915" w:type="dxa"/>
          </w:tcPr>
          <w:p w:rsidR="00BD7DD7" w:rsidRDefault="00A6146C">
            <w:pPr>
              <w:rPr>
                <w:szCs w:val="24"/>
              </w:rPr>
            </w:pPr>
            <w:r>
              <w:rPr>
                <w:szCs w:val="24"/>
              </w:rPr>
              <w:t>25 % pradinės sutarties ir 100 % susijusių sutarties pakeitimų (kainos padidinimo).</w:t>
            </w:r>
          </w:p>
        </w:tc>
      </w:tr>
    </w:tbl>
    <w:p w:rsidR="00BD7DD7" w:rsidRDefault="00BD7DD7"/>
    <w:p w:rsidR="00BD7DD7" w:rsidRDefault="00A6146C" w:rsidP="00A6146C">
      <w:pPr>
        <w:tabs>
          <w:tab w:val="left" w:pos="1800"/>
        </w:tabs>
        <w:spacing w:line="276" w:lineRule="auto"/>
        <w:jc w:val="center"/>
        <w:rPr>
          <w:szCs w:val="24"/>
          <w:lang w:eastAsia="lt-LT"/>
        </w:rPr>
      </w:pPr>
      <w:r>
        <w:rPr>
          <w:color w:val="000000"/>
          <w:szCs w:val="24"/>
          <w:lang w:eastAsia="lt-LT"/>
        </w:rPr>
        <w:t>_____________________</w:t>
      </w:r>
    </w:p>
    <w:p w:rsidR="00BD7DD7" w:rsidRDefault="00930FE9">
      <w:pPr>
        <w:spacing w:line="276" w:lineRule="auto"/>
        <w:jc w:val="center"/>
        <w:rPr>
          <w:szCs w:val="24"/>
        </w:rPr>
      </w:pPr>
    </w:p>
    <w:sectPr w:rsidR="00BD7DD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DD7" w:rsidRDefault="00A6146C">
      <w:r>
        <w:separator/>
      </w:r>
    </w:p>
  </w:endnote>
  <w:endnote w:type="continuationSeparator" w:id="0">
    <w:p w:rsidR="00BD7DD7" w:rsidRDefault="00A6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jc w:val="center"/>
    </w:pPr>
  </w:p>
  <w:p w:rsidR="00BD7DD7" w:rsidRDefault="00BD7DD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DD7" w:rsidRDefault="00A6146C">
      <w:r>
        <w:separator/>
      </w:r>
    </w:p>
  </w:footnote>
  <w:footnote w:type="continuationSeparator" w:id="0">
    <w:p w:rsidR="00BD7DD7" w:rsidRDefault="00A6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A6146C">
    <w:pPr>
      <w:tabs>
        <w:tab w:val="center" w:pos="4819"/>
        <w:tab w:val="right" w:pos="9638"/>
      </w:tabs>
      <w:jc w:val="center"/>
    </w:pPr>
    <w:r>
      <w:fldChar w:fldCharType="begin"/>
    </w:r>
    <w:r>
      <w:instrText>PAGE   \* MERGEFORMAT</w:instrText>
    </w:r>
    <w:r>
      <w:fldChar w:fldCharType="separate"/>
    </w:r>
    <w:r w:rsidR="00930FE9">
      <w:rPr>
        <w:noProof/>
      </w:rPr>
      <w:t>3</w:t>
    </w:r>
    <w:r>
      <w:fldChar w:fldCharType="end"/>
    </w:r>
  </w:p>
  <w:p w:rsidR="00BD7DD7" w:rsidRDefault="00BD7DD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D7" w:rsidRDefault="00BD7DD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51"/>
    <w:rsid w:val="001C653D"/>
    <w:rsid w:val="00930FE9"/>
    <w:rsid w:val="009D2EAA"/>
    <w:rsid w:val="00A6146C"/>
    <w:rsid w:val="00BD7DD7"/>
    <w:rsid w:val="00D64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AB73"/>
  <w15:docId w15:val="{BF4E0FDD-1E53-4109-8543-37BD72FA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1924">
      <w:bodyDiv w:val="1"/>
      <w:marLeft w:val="0"/>
      <w:marRight w:val="0"/>
      <w:marTop w:val="0"/>
      <w:marBottom w:val="0"/>
      <w:divBdr>
        <w:top w:val="none" w:sz="0" w:space="0" w:color="auto"/>
        <w:left w:val="none" w:sz="0" w:space="0" w:color="auto"/>
        <w:bottom w:val="none" w:sz="0" w:space="0" w:color="auto"/>
        <w:right w:val="none" w:sz="0" w:space="0" w:color="auto"/>
      </w:divBdr>
      <w:divsChild>
        <w:div w:id="954824209">
          <w:marLeft w:val="0"/>
          <w:marRight w:val="0"/>
          <w:marTop w:val="0"/>
          <w:marBottom w:val="0"/>
          <w:divBdr>
            <w:top w:val="none" w:sz="0" w:space="0" w:color="auto"/>
            <w:left w:val="none" w:sz="0" w:space="0" w:color="auto"/>
            <w:bottom w:val="none" w:sz="0" w:space="0" w:color="auto"/>
            <w:right w:val="none" w:sz="0" w:space="0" w:color="auto"/>
          </w:divBdr>
        </w:div>
        <w:div w:id="544873571">
          <w:marLeft w:val="0"/>
          <w:marRight w:val="0"/>
          <w:marTop w:val="0"/>
          <w:marBottom w:val="0"/>
          <w:divBdr>
            <w:top w:val="none" w:sz="0" w:space="0" w:color="auto"/>
            <w:left w:val="none" w:sz="0" w:space="0" w:color="auto"/>
            <w:bottom w:val="none" w:sz="0" w:space="0" w:color="auto"/>
            <w:right w:val="none" w:sz="0" w:space="0" w:color="auto"/>
          </w:divBdr>
        </w:div>
      </w:divsChild>
    </w:div>
    <w:div w:id="1122576672">
      <w:bodyDiv w:val="1"/>
      <w:marLeft w:val="0"/>
      <w:marRight w:val="0"/>
      <w:marTop w:val="0"/>
      <w:marBottom w:val="0"/>
      <w:divBdr>
        <w:top w:val="none" w:sz="0" w:space="0" w:color="auto"/>
        <w:left w:val="none" w:sz="0" w:space="0" w:color="auto"/>
        <w:bottom w:val="none" w:sz="0" w:space="0" w:color="auto"/>
        <w:right w:val="none" w:sz="0" w:space="0" w:color="auto"/>
      </w:divBdr>
      <w:divsChild>
        <w:div w:id="1589264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34A6ED4-5790-44DF-836F-73273F2F9447}">
  <ds:schemaRefs>
    <ds:schemaRef ds:uri="http://schemas.openxmlformats.org/officeDocument/2006/bibliography"/>
  </ds:schemaRefs>
</ds:datastoreItem>
</file>

<file path=customXml/itemProps3.xml><?xml version="1.0" encoding="utf-8"?>
<ds:datastoreItem xmlns:ds="http://schemas.openxmlformats.org/officeDocument/2006/customXml" ds:itemID="{9EAFE7CC-7661-4CD2-93CA-1CBE91F7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12799</Words>
  <Characters>7296</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20055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2026-01-02T09:54:00Z</dcterms:created>
  <dc:creator>Aurelija Bertašienė</dc:creator>
  <lastModifiedBy>JŪRĖNIENĖ Jolanta</lastModifiedBy>
  <dcterms:modified xsi:type="dcterms:W3CDTF">2026-01-02T10:02:00Z</dcterms:modified>
  <revision>4</revision>
</coreProperties>
</file>