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20E9C" w14:textId="7B8E407D" w:rsidR="002C6D1A" w:rsidRDefault="002C6D1A">
      <w:pPr>
        <w:tabs>
          <w:tab w:val="center" w:pos="4680"/>
          <w:tab w:val="right" w:pos="9360"/>
        </w:tabs>
        <w:rPr>
          <w:sz w:val="22"/>
          <w:szCs w:val="22"/>
          <w:lang w:eastAsia="lt-LT"/>
        </w:rPr>
      </w:pPr>
    </w:p>
    <w:p w14:paraId="4DF74559" w14:textId="77777777" w:rsidR="002C6D1A" w:rsidRDefault="00B40D42">
      <w:pPr>
        <w:ind w:firstLine="10206"/>
        <w:textAlignment w:val="center"/>
        <w:rPr>
          <w:color w:val="000000"/>
          <w:szCs w:val="24"/>
          <w:lang w:eastAsia="en-GB"/>
        </w:rPr>
      </w:pPr>
      <w:r>
        <w:rPr>
          <w:color w:val="000000"/>
          <w:szCs w:val="24"/>
          <w:lang w:eastAsia="en-GB"/>
        </w:rPr>
        <w:t>PATVIRTINTA</w:t>
      </w:r>
    </w:p>
    <w:p w14:paraId="222C3689" w14:textId="77777777" w:rsidR="002C6D1A" w:rsidRDefault="00B40D42">
      <w:pPr>
        <w:ind w:firstLine="10206"/>
        <w:textAlignment w:val="center"/>
        <w:rPr>
          <w:color w:val="000000"/>
          <w:szCs w:val="24"/>
          <w:lang w:eastAsia="en-GB"/>
        </w:rPr>
      </w:pPr>
      <w:r>
        <w:rPr>
          <w:color w:val="000000"/>
          <w:szCs w:val="24"/>
          <w:lang w:eastAsia="en-GB"/>
        </w:rPr>
        <w:t>Lietuvos Respublikos žemės ūkio ministro</w:t>
      </w:r>
    </w:p>
    <w:p w14:paraId="60298DA2" w14:textId="78F31671" w:rsidR="00B40D42" w:rsidRPr="00B40D42" w:rsidRDefault="00B40D42" w:rsidP="00B40D42">
      <w:pPr>
        <w:ind w:firstLine="10206"/>
        <w:textAlignment w:val="center"/>
        <w:rPr>
          <w:szCs w:val="24"/>
          <w:lang w:eastAsia="lt-LT"/>
        </w:rPr>
      </w:pPr>
      <w:r>
        <w:rPr>
          <w:color w:val="000000"/>
          <w:szCs w:val="24"/>
          <w:lang w:eastAsia="en-GB"/>
        </w:rPr>
        <w:t>2</w:t>
      </w:r>
      <w:r>
        <w:rPr>
          <w:color w:val="000000"/>
          <w:spacing w:val="-4"/>
          <w:szCs w:val="24"/>
          <w:lang w:eastAsia="en-GB"/>
        </w:rPr>
        <w:t>0</w:t>
      </w:r>
      <w:r>
        <w:rPr>
          <w:color w:val="000000"/>
          <w:spacing w:val="-4"/>
          <w:szCs w:val="24"/>
          <w:lang w:val="fi-FI" w:eastAsia="en-GB"/>
        </w:rPr>
        <w:t>24</w:t>
      </w:r>
      <w:r>
        <w:rPr>
          <w:color w:val="000000"/>
          <w:spacing w:val="-4"/>
          <w:szCs w:val="24"/>
          <w:lang w:eastAsia="en-GB"/>
        </w:rPr>
        <w:t xml:space="preserve"> m. rugsėjo 10 d. įsakymu</w:t>
      </w:r>
      <w:r>
        <w:rPr>
          <w:color w:val="000000"/>
          <w:szCs w:val="24"/>
          <w:lang w:eastAsia="en-GB"/>
        </w:rPr>
        <w:t xml:space="preserve"> </w:t>
      </w:r>
      <w:r>
        <w:rPr>
          <w:color w:val="000000"/>
          <w:spacing w:val="-4"/>
          <w:szCs w:val="24"/>
          <w:lang w:eastAsia="en-GB"/>
        </w:rPr>
        <w:t xml:space="preserve">Nr. </w:t>
      </w:r>
      <w:r w:rsidRPr="00B40D42">
        <w:rPr>
          <w:szCs w:val="24"/>
          <w:lang w:eastAsia="lt-LT"/>
        </w:rPr>
        <w:t>3D-640</w:t>
      </w:r>
    </w:p>
    <w:p w14:paraId="1534D906" w14:textId="345E4B41" w:rsidR="002C6D1A" w:rsidRDefault="002C6D1A">
      <w:pPr>
        <w:ind w:firstLine="10206"/>
        <w:textAlignment w:val="center"/>
        <w:rPr>
          <w:szCs w:val="24"/>
          <w:lang w:eastAsia="lt-LT"/>
        </w:rPr>
      </w:pPr>
    </w:p>
    <w:p w14:paraId="277677F3" w14:textId="77777777" w:rsidR="002C6D1A" w:rsidRDefault="002C6D1A">
      <w:pPr>
        <w:jc w:val="center"/>
        <w:rPr>
          <w:b/>
          <w:bCs/>
          <w:caps/>
          <w:color w:val="000000"/>
          <w:sz w:val="22"/>
          <w:szCs w:val="22"/>
          <w:lang w:eastAsia="lt-LT"/>
        </w:rPr>
      </w:pPr>
    </w:p>
    <w:p w14:paraId="06E464AC" w14:textId="77777777" w:rsidR="002C6D1A" w:rsidRDefault="002C6D1A">
      <w:pPr>
        <w:jc w:val="center"/>
        <w:rPr>
          <w:b/>
          <w:bCs/>
          <w:caps/>
          <w:color w:val="000000"/>
          <w:sz w:val="22"/>
          <w:szCs w:val="22"/>
          <w:lang w:eastAsia="lt-LT"/>
        </w:rPr>
      </w:pPr>
    </w:p>
    <w:p w14:paraId="02F6C13A" w14:textId="77777777" w:rsidR="002C6D1A" w:rsidRDefault="00E3494A">
      <w:pPr>
        <w:jc w:val="center"/>
        <w:rPr>
          <w:b/>
          <w:bCs/>
          <w:caps/>
          <w:color w:val="000000"/>
          <w:sz w:val="22"/>
          <w:szCs w:val="22"/>
          <w:lang w:eastAsia="lt-LT"/>
        </w:rPr>
      </w:pPr>
      <w:r w:rsidR="00B40D42">
        <w:rPr>
          <w:b/>
          <w:bCs/>
          <w:caps/>
          <w:color w:val="000000"/>
          <w:sz w:val="22"/>
          <w:szCs w:val="22"/>
          <w:lang w:eastAsia="lt-LT"/>
        </w:rPr>
        <w:t xml:space="preserve">LIETUVOS ŽUVININKYSTĖS sektoriaus 2021‒2027 METŲ PROGRAMOS </w:t>
      </w:r>
      <w:r w:rsidR="00B40D42">
        <w:rPr>
          <w:b/>
          <w:bCs/>
          <w:color w:val="000000"/>
          <w:sz w:val="22"/>
          <w:szCs w:val="22"/>
          <w:lang w:eastAsia="lt-LT"/>
        </w:rPr>
        <w:t>PIRMOJO PRIORITETO „TAUSIOS ŽVEJYBOS SKATINIMAS IR VANDENS BIOLOGINIŲ IŠTEKLIŲ ATKŪRIMAS IR IŠSAUGOJIMAS“ PRIEM</w:t>
      </w:r>
      <w:r w:rsidR="00B40D42">
        <w:rPr>
          <w:b/>
          <w:bCs/>
          <w:caps/>
          <w:color w:val="000000"/>
          <w:sz w:val="22"/>
          <w:szCs w:val="22"/>
          <w:lang w:eastAsia="lt-LT"/>
        </w:rPr>
        <w:t>ONĖS „</w:t>
      </w:r>
      <w:r w:rsidR="00B40D42">
        <w:rPr>
          <w:b/>
          <w:bCs/>
          <w:caps/>
          <w:sz w:val="22"/>
          <w:szCs w:val="22"/>
        </w:rPr>
        <w:t>Paukščius apsaugančių žvejybos valdymo priemonių taikymo ir žinduolių, kurie saugomi, daromos žalos kompensavimo sistemos“</w:t>
      </w:r>
      <w:r w:rsidR="00B40D42">
        <w:rPr>
          <w:b/>
          <w:bCs/>
          <w:sz w:val="22"/>
          <w:szCs w:val="22"/>
        </w:rPr>
        <w:t xml:space="preserve"> </w:t>
      </w:r>
      <w:r w:rsidR="00B40D42">
        <w:rPr>
          <w:b/>
          <w:bCs/>
          <w:color w:val="000000"/>
          <w:sz w:val="22"/>
          <w:szCs w:val="22"/>
          <w:lang w:eastAsia="lt-LT"/>
        </w:rPr>
        <w:t>KOMPENSACIJŲ SKYRIMO</w:t>
      </w:r>
      <w:r w:rsidR="00B40D42">
        <w:rPr>
          <w:b/>
          <w:bCs/>
          <w:caps/>
          <w:color w:val="000000"/>
          <w:sz w:val="22"/>
          <w:szCs w:val="22"/>
          <w:lang w:eastAsia="lt-LT"/>
        </w:rPr>
        <w:t xml:space="preserve"> SĄLYGŲ APRAŠAS</w:t>
      </w:r>
    </w:p>
    <w:p w14:paraId="4F5F7E06" w14:textId="77777777" w:rsidR="002C6D1A" w:rsidRDefault="002C6D1A">
      <w:pPr>
        <w:jc w:val="center"/>
        <w:rPr>
          <w:b/>
          <w:bCs/>
          <w:sz w:val="22"/>
          <w:szCs w:val="22"/>
        </w:rPr>
      </w:pPr>
    </w:p>
    <w:p w14:paraId="1D728F9D" w14:textId="77777777" w:rsidR="002C6D1A" w:rsidRDefault="002C6D1A">
      <w:pPr>
        <w:rPr>
          <w:i/>
          <w:sz w:val="22"/>
          <w:szCs w:val="22"/>
        </w:rPr>
      </w:pPr>
    </w:p>
    <w:p w14:paraId="4EFC45F0" w14:textId="77777777" w:rsidR="002C6D1A" w:rsidRDefault="00E3494A">
      <w:pPr>
        <w:spacing w:line="259" w:lineRule="auto"/>
        <w:ind w:left="1080" w:hanging="720"/>
        <w:jc w:val="both"/>
        <w:rPr>
          <w:b/>
          <w:sz w:val="22"/>
          <w:szCs w:val="22"/>
        </w:rPr>
      </w:pPr>
      <w:r w:rsidR="00B40D42">
        <w:rPr>
          <w:b/>
          <w:sz w:val="22"/>
          <w:szCs w:val="22"/>
        </w:rPr>
        <w:t>I</w:t>
      </w:r>
      <w:r w:rsidR="00B40D42">
        <w:rPr>
          <w:b/>
          <w:sz w:val="22"/>
          <w:szCs w:val="22"/>
        </w:rPr>
        <w:t xml:space="preserve">. </w:t>
      </w:r>
      <w:r w:rsidR="00B40D42">
        <w:rPr>
          <w:b/>
          <w:sz w:val="22"/>
          <w:szCs w:val="22"/>
        </w:rPr>
        <w:t>BENDROSIOS NUOSTATOS</w:t>
      </w:r>
    </w:p>
    <w:p w14:paraId="3F13E21A" w14:textId="77777777" w:rsidR="002C6D1A" w:rsidRDefault="002C6D1A">
      <w:pPr>
        <w:rPr>
          <w:sz w:val="22"/>
          <w:szCs w:val="22"/>
        </w:rPr>
      </w:pPr>
    </w:p>
    <w:tbl>
      <w:tblPr>
        <w:tblW w:w="5000" w:type="pct"/>
        <w:tblCellMar>
          <w:left w:w="0" w:type="dxa"/>
          <w:right w:w="0" w:type="dxa"/>
        </w:tblCellMar>
        <w:tblLook w:val="04A0" w:firstRow="1" w:lastRow="0" w:firstColumn="1" w:lastColumn="0" w:noHBand="0" w:noVBand="1"/>
      </w:tblPr>
      <w:tblGrid>
        <w:gridCol w:w="1833"/>
        <w:gridCol w:w="1702"/>
        <w:gridCol w:w="1647"/>
        <w:gridCol w:w="1755"/>
        <w:gridCol w:w="1510"/>
        <w:gridCol w:w="1496"/>
        <w:gridCol w:w="1488"/>
        <w:gridCol w:w="2028"/>
        <w:gridCol w:w="1091"/>
      </w:tblGrid>
      <w:tr w:rsidR="002C6D1A" w14:paraId="7C18C199" w14:textId="77777777">
        <w:tc>
          <w:tcPr>
            <w:tcW w:w="6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D5D815" w14:textId="77777777" w:rsidR="002C6D1A" w:rsidRDefault="00B40D42">
            <w:pPr>
              <w:jc w:val="center"/>
              <w:rPr>
                <w:sz w:val="22"/>
                <w:szCs w:val="22"/>
                <w:lang w:eastAsia="lt-LT"/>
              </w:rPr>
            </w:pPr>
            <w:r>
              <w:rPr>
                <w:b/>
                <w:bCs/>
                <w:sz w:val="22"/>
                <w:szCs w:val="22"/>
                <w:lang w:eastAsia="lt-LT"/>
              </w:rPr>
              <w:t>Prioritetas</w:t>
            </w: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ECF9943" w14:textId="77777777" w:rsidR="002C6D1A" w:rsidRDefault="00B40D42">
            <w:pPr>
              <w:jc w:val="center"/>
              <w:rPr>
                <w:sz w:val="22"/>
                <w:szCs w:val="22"/>
                <w:lang w:eastAsia="lt-LT"/>
              </w:rPr>
            </w:pPr>
            <w:r>
              <w:rPr>
                <w:b/>
                <w:bCs/>
                <w:sz w:val="22"/>
                <w:szCs w:val="22"/>
                <w:lang w:eastAsia="lt-LT"/>
              </w:rPr>
              <w:t>Konkretus tikslas</w:t>
            </w:r>
          </w:p>
        </w:tc>
        <w:tc>
          <w:tcPr>
            <w:tcW w:w="56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376E17" w14:textId="77777777" w:rsidR="002C6D1A" w:rsidRDefault="00B40D42">
            <w:pPr>
              <w:jc w:val="center"/>
              <w:rPr>
                <w:sz w:val="22"/>
                <w:szCs w:val="22"/>
                <w:lang w:eastAsia="lt-LT"/>
              </w:rPr>
            </w:pPr>
            <w:r>
              <w:rPr>
                <w:b/>
                <w:bCs/>
                <w:sz w:val="22"/>
                <w:szCs w:val="22"/>
                <w:lang w:eastAsia="lt-LT"/>
              </w:rPr>
              <w:t>Sektorius, prie kurio turi būti prisidedama projektu</w:t>
            </w:r>
          </w:p>
        </w:tc>
        <w:tc>
          <w:tcPr>
            <w:tcW w:w="60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873E87" w14:textId="77777777" w:rsidR="002C6D1A" w:rsidRDefault="00B40D42">
            <w:pPr>
              <w:jc w:val="center"/>
              <w:rPr>
                <w:sz w:val="22"/>
                <w:szCs w:val="22"/>
                <w:lang w:eastAsia="lt-LT"/>
              </w:rPr>
            </w:pPr>
            <w:r>
              <w:rPr>
                <w:b/>
                <w:bCs/>
                <w:sz w:val="22"/>
                <w:szCs w:val="22"/>
                <w:lang w:eastAsia="lt-LT"/>
              </w:rPr>
              <w:t>Paramos gavėjų rūšis</w:t>
            </w:r>
          </w:p>
        </w:tc>
        <w:tc>
          <w:tcPr>
            <w:tcW w:w="5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976702C" w14:textId="77777777" w:rsidR="002C6D1A" w:rsidRDefault="00B40D42">
            <w:pPr>
              <w:jc w:val="center"/>
              <w:rPr>
                <w:sz w:val="22"/>
                <w:szCs w:val="22"/>
                <w:lang w:eastAsia="lt-LT"/>
              </w:rPr>
            </w:pPr>
            <w:r>
              <w:rPr>
                <w:b/>
                <w:bCs/>
                <w:sz w:val="22"/>
                <w:szCs w:val="22"/>
                <w:lang w:eastAsia="lt-LT"/>
              </w:rPr>
              <w:t>Projektų susietumas su jūrų ir kitais vandenimis</w:t>
            </w:r>
          </w:p>
        </w:tc>
        <w:tc>
          <w:tcPr>
            <w:tcW w:w="51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FBA2B7C" w14:textId="77777777" w:rsidR="002C6D1A" w:rsidRDefault="00B40D42">
            <w:pPr>
              <w:ind w:firstLine="53"/>
              <w:jc w:val="center"/>
              <w:rPr>
                <w:sz w:val="22"/>
                <w:szCs w:val="22"/>
                <w:lang w:eastAsia="lt-LT"/>
              </w:rPr>
            </w:pPr>
            <w:r>
              <w:rPr>
                <w:b/>
                <w:bCs/>
                <w:sz w:val="22"/>
                <w:szCs w:val="22"/>
                <w:lang w:eastAsia="lt-LT"/>
              </w:rPr>
              <w:t>Specialiosios projektų sąsajos</w:t>
            </w:r>
          </w:p>
        </w:tc>
        <w:tc>
          <w:tcPr>
            <w:tcW w:w="51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4233CA5" w14:textId="77777777" w:rsidR="002C6D1A" w:rsidRDefault="00B40D42">
            <w:pPr>
              <w:jc w:val="center"/>
              <w:rPr>
                <w:sz w:val="22"/>
                <w:szCs w:val="22"/>
                <w:lang w:eastAsia="lt-LT"/>
              </w:rPr>
            </w:pPr>
            <w:r>
              <w:rPr>
                <w:b/>
                <w:bCs/>
                <w:sz w:val="22"/>
                <w:szCs w:val="22"/>
                <w:lang w:eastAsia="lt-LT"/>
              </w:rPr>
              <w:t>Projektų rūšis</w:t>
            </w:r>
          </w:p>
        </w:tc>
        <w:tc>
          <w:tcPr>
            <w:tcW w:w="69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6DA3E82" w14:textId="77777777" w:rsidR="002C6D1A" w:rsidRDefault="00B40D42">
            <w:pPr>
              <w:jc w:val="center"/>
              <w:rPr>
                <w:sz w:val="22"/>
                <w:szCs w:val="22"/>
                <w:lang w:eastAsia="lt-LT"/>
              </w:rPr>
            </w:pPr>
            <w:r>
              <w:rPr>
                <w:b/>
                <w:bCs/>
                <w:sz w:val="22"/>
                <w:szCs w:val="22"/>
                <w:lang w:eastAsia="lt-LT"/>
              </w:rPr>
              <w:t>Intervencinių priemonių rūšis</w:t>
            </w:r>
          </w:p>
        </w:tc>
        <w:tc>
          <w:tcPr>
            <w:tcW w:w="37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D9D06C0" w14:textId="77777777" w:rsidR="002C6D1A" w:rsidRDefault="00B40D42">
            <w:pPr>
              <w:jc w:val="center"/>
              <w:rPr>
                <w:sz w:val="22"/>
                <w:szCs w:val="22"/>
                <w:lang w:eastAsia="lt-LT"/>
              </w:rPr>
            </w:pPr>
            <w:r>
              <w:rPr>
                <w:b/>
                <w:bCs/>
                <w:sz w:val="22"/>
                <w:szCs w:val="22"/>
                <w:lang w:eastAsia="lt-LT"/>
              </w:rPr>
              <w:t>Paramos formos kodas</w:t>
            </w:r>
          </w:p>
        </w:tc>
      </w:tr>
      <w:tr w:rsidR="002C6D1A" w14:paraId="77699DD7" w14:textId="77777777">
        <w:tc>
          <w:tcPr>
            <w:tcW w:w="630"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5CC80038" w14:textId="77777777" w:rsidR="002C6D1A" w:rsidRDefault="00B40D42">
            <w:pPr>
              <w:jc w:val="center"/>
              <w:rPr>
                <w:sz w:val="22"/>
                <w:szCs w:val="22"/>
                <w:lang w:eastAsia="lt-LT"/>
              </w:rPr>
            </w:pPr>
            <w:r>
              <w:rPr>
                <w:b/>
                <w:bCs/>
                <w:sz w:val="22"/>
                <w:szCs w:val="22"/>
                <w:lang w:eastAsia="lt-LT"/>
              </w:rPr>
              <w:t>1</w:t>
            </w:r>
          </w:p>
        </w:tc>
        <w:tc>
          <w:tcPr>
            <w:tcW w:w="585"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7FBD4513" w14:textId="77777777" w:rsidR="002C6D1A" w:rsidRDefault="00B40D42">
            <w:pPr>
              <w:jc w:val="center"/>
              <w:rPr>
                <w:sz w:val="22"/>
                <w:szCs w:val="22"/>
                <w:lang w:eastAsia="lt-LT"/>
              </w:rPr>
            </w:pPr>
            <w:r>
              <w:rPr>
                <w:b/>
                <w:bCs/>
                <w:sz w:val="22"/>
                <w:szCs w:val="22"/>
                <w:lang w:eastAsia="lt-LT"/>
              </w:rPr>
              <w:t>2</w:t>
            </w:r>
          </w:p>
        </w:tc>
        <w:tc>
          <w:tcPr>
            <w:tcW w:w="56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1B0FD6DA" w14:textId="77777777" w:rsidR="002C6D1A" w:rsidRDefault="00B40D42">
            <w:pPr>
              <w:jc w:val="center"/>
              <w:rPr>
                <w:sz w:val="22"/>
                <w:szCs w:val="22"/>
                <w:lang w:eastAsia="lt-LT"/>
              </w:rPr>
            </w:pPr>
            <w:r>
              <w:rPr>
                <w:b/>
                <w:bCs/>
                <w:sz w:val="22"/>
                <w:szCs w:val="22"/>
                <w:lang w:eastAsia="lt-LT"/>
              </w:rPr>
              <w:t>3</w:t>
            </w:r>
          </w:p>
        </w:tc>
        <w:tc>
          <w:tcPr>
            <w:tcW w:w="603" w:type="pct"/>
            <w:tcBorders>
              <w:top w:val="nil"/>
              <w:left w:val="nil"/>
              <w:bottom w:val="single" w:sz="4" w:space="0" w:color="auto"/>
              <w:right w:val="single" w:sz="8" w:space="0" w:color="auto"/>
            </w:tcBorders>
            <w:tcMar>
              <w:top w:w="0" w:type="dxa"/>
              <w:left w:w="108" w:type="dxa"/>
              <w:bottom w:w="0" w:type="dxa"/>
              <w:right w:w="108" w:type="dxa"/>
            </w:tcMar>
            <w:hideMark/>
          </w:tcPr>
          <w:p w14:paraId="49B220DE" w14:textId="77777777" w:rsidR="002C6D1A" w:rsidRDefault="00B40D42">
            <w:pPr>
              <w:jc w:val="center"/>
              <w:rPr>
                <w:sz w:val="22"/>
                <w:szCs w:val="22"/>
                <w:lang w:eastAsia="lt-LT"/>
              </w:rPr>
            </w:pPr>
            <w:r>
              <w:rPr>
                <w:b/>
                <w:bCs/>
                <w:sz w:val="22"/>
                <w:szCs w:val="22"/>
                <w:lang w:eastAsia="lt-LT"/>
              </w:rPr>
              <w:t>4</w:t>
            </w:r>
          </w:p>
        </w:tc>
        <w:tc>
          <w:tcPr>
            <w:tcW w:w="519" w:type="pct"/>
            <w:tcBorders>
              <w:top w:val="nil"/>
              <w:left w:val="nil"/>
              <w:bottom w:val="single" w:sz="4" w:space="0" w:color="auto"/>
              <w:right w:val="single" w:sz="8" w:space="0" w:color="auto"/>
            </w:tcBorders>
            <w:tcMar>
              <w:top w:w="0" w:type="dxa"/>
              <w:left w:w="108" w:type="dxa"/>
              <w:bottom w:w="0" w:type="dxa"/>
              <w:right w:w="108" w:type="dxa"/>
            </w:tcMar>
            <w:hideMark/>
          </w:tcPr>
          <w:p w14:paraId="51A3BCEA" w14:textId="77777777" w:rsidR="002C6D1A" w:rsidRDefault="00B40D42">
            <w:pPr>
              <w:jc w:val="center"/>
              <w:rPr>
                <w:sz w:val="22"/>
                <w:szCs w:val="22"/>
                <w:lang w:eastAsia="lt-LT"/>
              </w:rPr>
            </w:pPr>
            <w:r>
              <w:rPr>
                <w:b/>
                <w:bCs/>
                <w:sz w:val="22"/>
                <w:szCs w:val="22"/>
                <w:lang w:eastAsia="lt-LT"/>
              </w:rPr>
              <w:t>5</w:t>
            </w:r>
          </w:p>
        </w:tc>
        <w:tc>
          <w:tcPr>
            <w:tcW w:w="514" w:type="pct"/>
            <w:tcBorders>
              <w:top w:val="nil"/>
              <w:left w:val="nil"/>
              <w:bottom w:val="single" w:sz="4" w:space="0" w:color="auto"/>
              <w:right w:val="single" w:sz="8" w:space="0" w:color="auto"/>
            </w:tcBorders>
            <w:tcMar>
              <w:top w:w="0" w:type="dxa"/>
              <w:left w:w="108" w:type="dxa"/>
              <w:bottom w:w="0" w:type="dxa"/>
              <w:right w:w="108" w:type="dxa"/>
            </w:tcMar>
            <w:hideMark/>
          </w:tcPr>
          <w:p w14:paraId="119335CD" w14:textId="77777777" w:rsidR="002C6D1A" w:rsidRDefault="00B40D42">
            <w:pPr>
              <w:jc w:val="center"/>
              <w:rPr>
                <w:sz w:val="22"/>
                <w:szCs w:val="22"/>
                <w:lang w:eastAsia="lt-LT"/>
              </w:rPr>
            </w:pPr>
            <w:r>
              <w:rPr>
                <w:b/>
                <w:bCs/>
                <w:sz w:val="22"/>
                <w:szCs w:val="22"/>
                <w:lang w:eastAsia="lt-LT"/>
              </w:rPr>
              <w:t>6</w:t>
            </w:r>
          </w:p>
        </w:tc>
        <w:tc>
          <w:tcPr>
            <w:tcW w:w="511"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5783B650" w14:textId="77777777" w:rsidR="002C6D1A" w:rsidRDefault="00B40D42">
            <w:pPr>
              <w:jc w:val="center"/>
              <w:rPr>
                <w:strike/>
                <w:sz w:val="22"/>
                <w:szCs w:val="22"/>
                <w:lang w:eastAsia="lt-LT"/>
              </w:rPr>
            </w:pPr>
            <w:r>
              <w:rPr>
                <w:b/>
                <w:bCs/>
                <w:sz w:val="22"/>
                <w:szCs w:val="22"/>
                <w:lang w:eastAsia="lt-LT"/>
              </w:rPr>
              <w:t>7</w:t>
            </w:r>
          </w:p>
        </w:tc>
        <w:tc>
          <w:tcPr>
            <w:tcW w:w="697" w:type="pct"/>
            <w:tcBorders>
              <w:top w:val="nil"/>
              <w:left w:val="nil"/>
              <w:bottom w:val="single" w:sz="4" w:space="0" w:color="auto"/>
              <w:right w:val="single" w:sz="8" w:space="0" w:color="auto"/>
            </w:tcBorders>
            <w:tcMar>
              <w:top w:w="0" w:type="dxa"/>
              <w:left w:w="108" w:type="dxa"/>
              <w:bottom w:w="0" w:type="dxa"/>
              <w:right w:w="108" w:type="dxa"/>
            </w:tcMar>
            <w:hideMark/>
          </w:tcPr>
          <w:p w14:paraId="72F607C8" w14:textId="77777777" w:rsidR="002C6D1A" w:rsidRDefault="00B40D42">
            <w:pPr>
              <w:jc w:val="center"/>
              <w:rPr>
                <w:sz w:val="22"/>
                <w:szCs w:val="22"/>
                <w:lang w:eastAsia="lt-LT"/>
              </w:rPr>
            </w:pPr>
            <w:r>
              <w:rPr>
                <w:b/>
                <w:bCs/>
                <w:sz w:val="22"/>
                <w:szCs w:val="22"/>
                <w:lang w:eastAsia="lt-LT"/>
              </w:rPr>
              <w:t>8</w:t>
            </w:r>
          </w:p>
        </w:tc>
        <w:tc>
          <w:tcPr>
            <w:tcW w:w="375"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639572FF" w14:textId="77777777" w:rsidR="002C6D1A" w:rsidRDefault="00B40D42">
            <w:pPr>
              <w:jc w:val="center"/>
              <w:rPr>
                <w:sz w:val="22"/>
                <w:szCs w:val="22"/>
                <w:lang w:eastAsia="lt-LT"/>
              </w:rPr>
            </w:pPr>
            <w:r>
              <w:rPr>
                <w:b/>
                <w:bCs/>
                <w:sz w:val="22"/>
                <w:szCs w:val="22"/>
                <w:lang w:eastAsia="lt-LT"/>
              </w:rPr>
              <w:t>9</w:t>
            </w:r>
          </w:p>
        </w:tc>
      </w:tr>
      <w:tr w:rsidR="002C6D1A" w14:paraId="2B6B7C9A" w14:textId="77777777">
        <w:trPr>
          <w:trHeight w:val="278"/>
        </w:trPr>
        <w:tc>
          <w:tcPr>
            <w:tcW w:w="6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D92EF4" w14:textId="77777777" w:rsidR="002C6D1A" w:rsidRDefault="00B40D42">
            <w:pPr>
              <w:rPr>
                <w:sz w:val="22"/>
                <w:szCs w:val="22"/>
                <w:lang w:eastAsia="lt-LT"/>
              </w:rPr>
            </w:pPr>
            <w:r>
              <w:rPr>
                <w:color w:val="000000"/>
                <w:sz w:val="22"/>
                <w:szCs w:val="22"/>
              </w:rPr>
              <w:t>01 Tausios žvejybos skatinimas ir vandens biologinių išteklių atkūrimas ir išsaugojimas</w:t>
            </w:r>
          </w:p>
        </w:tc>
        <w:tc>
          <w:tcPr>
            <w:tcW w:w="5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EB0536" w14:textId="77777777" w:rsidR="002C6D1A" w:rsidRDefault="00B40D42">
            <w:pPr>
              <w:ind w:firstLine="62"/>
              <w:rPr>
                <w:sz w:val="22"/>
                <w:szCs w:val="22"/>
                <w:lang w:eastAsia="lt-LT"/>
              </w:rPr>
            </w:pPr>
            <w:r>
              <w:rPr>
                <w:bCs/>
                <w:color w:val="000000"/>
                <w:sz w:val="22"/>
                <w:szCs w:val="22"/>
              </w:rPr>
              <w:t xml:space="preserve">1.1. </w:t>
            </w:r>
            <w:r>
              <w:rPr>
                <w:color w:val="000000"/>
                <w:sz w:val="22"/>
                <w:szCs w:val="22"/>
              </w:rPr>
              <w:t>Stiprinti ekonominiu, socialiniu ir aplinkosaugos požiūriu darnią žvejybos veiklą</w:t>
            </w:r>
          </w:p>
        </w:tc>
        <w:tc>
          <w:tcPr>
            <w:tcW w:w="5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338F6E" w14:textId="77777777" w:rsidR="002C6D1A" w:rsidRDefault="00B40D42">
            <w:pPr>
              <w:rPr>
                <w:sz w:val="22"/>
                <w:szCs w:val="22"/>
                <w:lang w:eastAsia="lt-LT"/>
              </w:rPr>
            </w:pPr>
            <w:r>
              <w:rPr>
                <w:color w:val="000000"/>
                <w:sz w:val="22"/>
                <w:szCs w:val="22"/>
              </w:rPr>
              <w:t>01 Žvejyba</w:t>
            </w:r>
          </w:p>
        </w:tc>
        <w:tc>
          <w:tcPr>
            <w:tcW w:w="6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124C40" w14:textId="77777777" w:rsidR="002C6D1A" w:rsidRDefault="00B40D42">
            <w:pPr>
              <w:rPr>
                <w:color w:val="000000"/>
                <w:sz w:val="22"/>
                <w:szCs w:val="22"/>
              </w:rPr>
            </w:pPr>
            <w:r>
              <w:rPr>
                <w:color w:val="000000"/>
                <w:sz w:val="22"/>
                <w:szCs w:val="22"/>
              </w:rPr>
              <w:t>04 Privati įmonė – labai maža;</w:t>
            </w:r>
          </w:p>
          <w:p w14:paraId="1C03EC33" w14:textId="77777777" w:rsidR="002C6D1A" w:rsidRDefault="00B40D42">
            <w:pPr>
              <w:rPr>
                <w:color w:val="000000"/>
                <w:sz w:val="22"/>
                <w:szCs w:val="22"/>
              </w:rPr>
            </w:pPr>
            <w:r>
              <w:rPr>
                <w:color w:val="000000"/>
                <w:sz w:val="22"/>
                <w:szCs w:val="22"/>
              </w:rPr>
              <w:t>05 Privati įmonė (mažoji ar vidutinė įmonė)</w:t>
            </w:r>
          </w:p>
          <w:p w14:paraId="5D8915CD" w14:textId="77777777" w:rsidR="002C6D1A" w:rsidRDefault="002C6D1A">
            <w:pPr>
              <w:ind w:firstLine="62"/>
              <w:rPr>
                <w:sz w:val="22"/>
                <w:szCs w:val="22"/>
                <w:lang w:eastAsia="lt-LT"/>
              </w:rPr>
            </w:pPr>
          </w:p>
        </w:tc>
        <w:tc>
          <w:tcPr>
            <w:tcW w:w="5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1638EE" w14:textId="77777777" w:rsidR="002C6D1A" w:rsidRDefault="00B40D42">
            <w:pPr>
              <w:rPr>
                <w:bCs/>
                <w:iCs/>
                <w:color w:val="000000"/>
                <w:sz w:val="22"/>
                <w:szCs w:val="22"/>
              </w:rPr>
            </w:pPr>
            <w:r>
              <w:rPr>
                <w:bCs/>
                <w:iCs/>
                <w:color w:val="000000"/>
                <w:sz w:val="22"/>
                <w:szCs w:val="22"/>
              </w:rPr>
              <w:t>01 Jūros</w:t>
            </w:r>
          </w:p>
          <w:p w14:paraId="4292EC09" w14:textId="77777777" w:rsidR="002C6D1A" w:rsidRDefault="002C6D1A">
            <w:pPr>
              <w:rPr>
                <w:sz w:val="22"/>
                <w:szCs w:val="22"/>
                <w:lang w:eastAsia="lt-LT"/>
              </w:rPr>
            </w:pPr>
          </w:p>
        </w:tc>
        <w:tc>
          <w:tcPr>
            <w:tcW w:w="5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75EC90" w14:textId="77777777" w:rsidR="002C6D1A" w:rsidRDefault="00B40D42">
            <w:pPr>
              <w:rPr>
                <w:color w:val="000000"/>
                <w:sz w:val="22"/>
                <w:szCs w:val="22"/>
              </w:rPr>
            </w:pPr>
            <w:r>
              <w:rPr>
                <w:color w:val="000000"/>
                <w:sz w:val="22"/>
                <w:szCs w:val="22"/>
              </w:rPr>
              <w:t>29 Su mažos apimties priekrantės žvejyba susijęs veiksmas</w:t>
            </w:r>
            <w:r>
              <w:rPr>
                <w:iCs/>
                <w:color w:val="000000"/>
                <w:sz w:val="22"/>
                <w:szCs w:val="22"/>
              </w:rPr>
              <w:t xml:space="preserve"> </w:t>
            </w:r>
          </w:p>
          <w:p w14:paraId="5C011B3D" w14:textId="77777777" w:rsidR="002C6D1A" w:rsidRDefault="002C6D1A">
            <w:pPr>
              <w:rPr>
                <w:sz w:val="22"/>
                <w:szCs w:val="22"/>
                <w:lang w:eastAsia="lt-LT"/>
              </w:rPr>
            </w:pPr>
          </w:p>
        </w:tc>
        <w:tc>
          <w:tcPr>
            <w:tcW w:w="51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7EE594" w14:textId="77777777" w:rsidR="002C6D1A" w:rsidRDefault="00B40D42">
            <w:pPr>
              <w:rPr>
                <w:color w:val="000000"/>
                <w:sz w:val="22"/>
                <w:szCs w:val="22"/>
              </w:rPr>
            </w:pPr>
            <w:r>
              <w:rPr>
                <w:color w:val="000000"/>
                <w:sz w:val="22"/>
                <w:szCs w:val="22"/>
              </w:rPr>
              <w:t xml:space="preserve">27 Ekosisteminės paslaugos </w:t>
            </w:r>
          </w:p>
          <w:p w14:paraId="6C3A2040" w14:textId="77777777" w:rsidR="002C6D1A" w:rsidRDefault="002C6D1A">
            <w:pPr>
              <w:rPr>
                <w:sz w:val="22"/>
                <w:szCs w:val="22"/>
                <w:lang w:eastAsia="lt-LT"/>
              </w:rPr>
            </w:pPr>
          </w:p>
        </w:tc>
        <w:tc>
          <w:tcPr>
            <w:tcW w:w="69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F42E04" w14:textId="77777777" w:rsidR="002C6D1A" w:rsidRDefault="00B40D42">
            <w:pPr>
              <w:rPr>
                <w:strike/>
                <w:sz w:val="22"/>
                <w:szCs w:val="22"/>
                <w:lang w:eastAsia="lt-LT"/>
              </w:rPr>
            </w:pPr>
            <w:r>
              <w:rPr>
                <w:iCs/>
                <w:color w:val="000000"/>
                <w:sz w:val="22"/>
                <w:szCs w:val="22"/>
              </w:rPr>
              <w:t>02 Ekonomiškai gyvybingų, konkurencingų ir patrauklių žvejybos, akvakultūros ir perdirbimo sektorių sąlygų skatinimas</w:t>
            </w:r>
          </w:p>
        </w:tc>
        <w:tc>
          <w:tcPr>
            <w:tcW w:w="37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95FF30" w14:textId="77777777" w:rsidR="002C6D1A" w:rsidRDefault="00B40D42">
            <w:pPr>
              <w:rPr>
                <w:sz w:val="22"/>
                <w:szCs w:val="22"/>
                <w:lang w:eastAsia="lt-LT"/>
              </w:rPr>
            </w:pPr>
            <w:r>
              <w:rPr>
                <w:bCs/>
                <w:iCs/>
                <w:color w:val="000000"/>
                <w:sz w:val="22"/>
                <w:szCs w:val="22"/>
              </w:rPr>
              <w:t>01 Dotacijos</w:t>
            </w:r>
          </w:p>
        </w:tc>
      </w:tr>
    </w:tbl>
    <w:p w14:paraId="5597E135" w14:textId="77777777" w:rsidR="002C6D1A" w:rsidRDefault="002C6D1A">
      <w:pPr>
        <w:rPr>
          <w:sz w:val="22"/>
          <w:szCs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9"/>
      </w:tblGrid>
      <w:tr w:rsidR="002C6D1A" w14:paraId="3D50648E" w14:textId="77777777">
        <w:tc>
          <w:tcPr>
            <w:tcW w:w="14709" w:type="dxa"/>
          </w:tcPr>
          <w:p w14:paraId="3EA7901C" w14:textId="77777777" w:rsidR="002C6D1A" w:rsidRDefault="00B40D42">
            <w:pPr>
              <w:ind w:left="1080" w:hanging="720"/>
              <w:rPr>
                <w:b/>
                <w:sz w:val="22"/>
                <w:szCs w:val="22"/>
              </w:rPr>
            </w:pPr>
            <w:r>
              <w:rPr>
                <w:b/>
                <w:sz w:val="22"/>
                <w:szCs w:val="22"/>
              </w:rPr>
              <w:t>II. SPECIALIEJI FINANSAVIMO REIKALAVIMAI</w:t>
            </w:r>
          </w:p>
        </w:tc>
      </w:tr>
      <w:tr w:rsidR="002C6D1A" w14:paraId="1E7329C4" w14:textId="77777777">
        <w:tc>
          <w:tcPr>
            <w:tcW w:w="14709" w:type="dxa"/>
          </w:tcPr>
          <w:p w14:paraId="502E6205" w14:textId="77777777" w:rsidR="002C6D1A" w:rsidRDefault="00B40D42">
            <w:pPr>
              <w:rPr>
                <w:b/>
                <w:bCs/>
                <w:sz w:val="22"/>
                <w:szCs w:val="22"/>
              </w:rPr>
            </w:pPr>
            <w:r>
              <w:rPr>
                <w:b/>
                <w:bCs/>
                <w:sz w:val="22"/>
                <w:szCs w:val="22"/>
              </w:rPr>
              <w:t>1. Taikomi teisės aktai ir trumpiniai</w:t>
            </w:r>
          </w:p>
        </w:tc>
      </w:tr>
      <w:tr w:rsidR="002C6D1A" w14:paraId="1070BB6B" w14:textId="77777777">
        <w:tc>
          <w:tcPr>
            <w:tcW w:w="14709" w:type="dxa"/>
            <w:shd w:val="clear" w:color="auto" w:fill="auto"/>
          </w:tcPr>
          <w:p w14:paraId="431616C6" w14:textId="77777777" w:rsidR="002C6D1A" w:rsidRDefault="00B40D42">
            <w:pPr>
              <w:tabs>
                <w:tab w:val="left" w:pos="452"/>
              </w:tabs>
              <w:spacing w:line="360" w:lineRule="auto"/>
              <w:jc w:val="both"/>
              <w:rPr>
                <w:color w:val="000000"/>
                <w:sz w:val="22"/>
                <w:szCs w:val="22"/>
              </w:rPr>
            </w:pPr>
            <w:r>
              <w:rPr>
                <w:color w:val="000000"/>
                <w:sz w:val="22"/>
                <w:szCs w:val="22"/>
              </w:rPr>
              <w:t>1.1.</w:t>
            </w:r>
            <w:r>
              <w:rPr>
                <w:color w:val="000000"/>
                <w:sz w:val="22"/>
                <w:szCs w:val="22"/>
              </w:rPr>
              <w:tab/>
              <w:t xml:space="preserve">2021 m. birželio 24 d. Europos Parlamento ir Tarybos reglamentas </w:t>
            </w:r>
            <w:r>
              <w:rPr>
                <w:color w:val="0563C1"/>
                <w:sz w:val="22"/>
                <w:szCs w:val="22"/>
                <w:u w:val="single"/>
              </w:rPr>
              <w:t>(ES) Nr. 2021/1060</w:t>
            </w:r>
            <w:r>
              <w:rPr>
                <w:color w:val="000000"/>
                <w:sz w:val="22"/>
                <w:szCs w:val="22"/>
              </w:rPr>
              <w:t xml:space="preserve">, kuriuo nustatomos bendros Europos regioninės plėtros fondo, „Europos socialinio fondo+“, Sanglaudos fondo, Teisingos pertvarkos fondo ir Europos jūrų reikalų, žvejybos ir akvakultūros fondo nuostatos ir šių fondų bei Prieglobsčio, </w:t>
            </w:r>
            <w:r>
              <w:rPr>
                <w:color w:val="000000"/>
                <w:sz w:val="22"/>
                <w:szCs w:val="22"/>
              </w:rPr>
              <w:lastRenderedPageBreak/>
              <w:t xml:space="preserve">migracijos ir integracijos fondo, Vidaus saugumo fondo ir Sienų valdymo ir vizų politikos finansinės paramos priemonės taisyklės (toliau – Reglamentas </w:t>
            </w:r>
            <w:r>
              <w:rPr>
                <w:color w:val="0563C1"/>
                <w:sz w:val="22"/>
                <w:szCs w:val="22"/>
                <w:u w:val="single"/>
              </w:rPr>
              <w:t>(ES) Nr. 2021/1060</w:t>
            </w:r>
            <w:r>
              <w:rPr>
                <w:color w:val="000000"/>
                <w:sz w:val="22"/>
                <w:szCs w:val="22"/>
              </w:rPr>
              <w:t>);</w:t>
            </w:r>
          </w:p>
          <w:p w14:paraId="41748A36" w14:textId="77777777" w:rsidR="002C6D1A" w:rsidRDefault="00B40D42">
            <w:pPr>
              <w:tabs>
                <w:tab w:val="left" w:pos="452"/>
              </w:tabs>
              <w:spacing w:line="360" w:lineRule="auto"/>
              <w:jc w:val="both"/>
              <w:rPr>
                <w:sz w:val="22"/>
                <w:szCs w:val="22"/>
              </w:rPr>
            </w:pPr>
            <w:r>
              <w:rPr>
                <w:sz w:val="22"/>
                <w:szCs w:val="22"/>
              </w:rPr>
              <w:t>1.2.</w:t>
            </w:r>
            <w:r>
              <w:rPr>
                <w:sz w:val="22"/>
                <w:szCs w:val="22"/>
              </w:rPr>
              <w:tab/>
            </w:r>
            <w:r>
              <w:rPr>
                <w:color w:val="000000"/>
                <w:sz w:val="22"/>
                <w:szCs w:val="22"/>
              </w:rPr>
              <w:t xml:space="preserve">2021 m. liepos 7 d. </w:t>
            </w:r>
            <w:r>
              <w:rPr>
                <w:sz w:val="22"/>
                <w:szCs w:val="22"/>
              </w:rPr>
              <w:t xml:space="preserve"> </w:t>
            </w:r>
            <w:r>
              <w:rPr>
                <w:color w:val="000000"/>
                <w:sz w:val="22"/>
                <w:szCs w:val="22"/>
              </w:rPr>
              <w:t xml:space="preserve">Europos Parlamento ir Tarybos reglamentas </w:t>
            </w:r>
            <w:r>
              <w:rPr>
                <w:color w:val="0563C1"/>
                <w:sz w:val="22"/>
                <w:szCs w:val="22"/>
                <w:u w:val="single"/>
              </w:rPr>
              <w:t>(ES) Nr. 2021/1139</w:t>
            </w:r>
            <w:r>
              <w:rPr>
                <w:color w:val="000000"/>
                <w:sz w:val="22"/>
                <w:szCs w:val="22"/>
              </w:rPr>
              <w:t xml:space="preserve">, kuriuo nustatomas Europos jūrų reikalų, žvejybos ir akvakultūros fondas ir iš dalies keičiamas Reglamentas </w:t>
            </w:r>
            <w:r>
              <w:rPr>
                <w:color w:val="0563C1"/>
                <w:sz w:val="22"/>
                <w:szCs w:val="22"/>
                <w:u w:val="single"/>
              </w:rPr>
              <w:t>(ES) Nr. 2017/1004</w:t>
            </w:r>
            <w:r>
              <w:rPr>
                <w:color w:val="000000"/>
                <w:sz w:val="22"/>
                <w:szCs w:val="22"/>
              </w:rPr>
              <w:t xml:space="preserve"> (toliau – Reglamentas </w:t>
            </w:r>
            <w:r>
              <w:rPr>
                <w:color w:val="0563C1"/>
                <w:sz w:val="22"/>
                <w:szCs w:val="22"/>
                <w:u w:val="single"/>
              </w:rPr>
              <w:t>(ES) Nr. 2021/1139</w:t>
            </w:r>
            <w:r>
              <w:rPr>
                <w:color w:val="000000"/>
                <w:sz w:val="22"/>
                <w:szCs w:val="22"/>
              </w:rPr>
              <w:t>);</w:t>
            </w:r>
          </w:p>
          <w:p w14:paraId="2EE7231E" w14:textId="77777777" w:rsidR="002C6D1A" w:rsidRDefault="00B40D42">
            <w:pPr>
              <w:tabs>
                <w:tab w:val="left" w:pos="452"/>
              </w:tabs>
              <w:spacing w:line="360" w:lineRule="auto"/>
              <w:jc w:val="both"/>
              <w:rPr>
                <w:sz w:val="22"/>
                <w:szCs w:val="22"/>
              </w:rPr>
            </w:pPr>
            <w:r>
              <w:rPr>
                <w:sz w:val="22"/>
                <w:szCs w:val="22"/>
              </w:rPr>
              <w:t>1.3.</w:t>
            </w:r>
            <w:r>
              <w:rPr>
                <w:sz w:val="22"/>
                <w:szCs w:val="22"/>
              </w:rPr>
              <w:tab/>
              <w:t xml:space="preserve"> Lietuvos žuvininkystės sektoriaus 2021–2027 metų programa (toliau – Žuvininkystės programa), patvirtinta 2022 m. spalio 31 d. </w:t>
            </w:r>
            <w:r>
              <w:rPr>
                <w:bCs/>
                <w:sz w:val="22"/>
                <w:szCs w:val="22"/>
              </w:rPr>
              <w:t>Europos Komisijos įgyvendinimo sprendimu C (2022) 8008</w:t>
            </w:r>
            <w:r>
              <w:rPr>
                <w:sz w:val="22"/>
                <w:szCs w:val="22"/>
              </w:rPr>
              <w:t xml:space="preserve">;  </w:t>
            </w:r>
          </w:p>
          <w:p w14:paraId="743B0625" w14:textId="77777777" w:rsidR="002C6D1A" w:rsidRDefault="00B40D42">
            <w:pPr>
              <w:tabs>
                <w:tab w:val="left" w:pos="452"/>
              </w:tabs>
              <w:spacing w:line="360" w:lineRule="auto"/>
              <w:jc w:val="both"/>
              <w:rPr>
                <w:sz w:val="22"/>
                <w:szCs w:val="22"/>
              </w:rPr>
            </w:pPr>
            <w:r>
              <w:rPr>
                <w:sz w:val="22"/>
                <w:szCs w:val="22"/>
              </w:rPr>
              <w:t>1.4.</w:t>
            </w:r>
            <w:r>
              <w:rPr>
                <w:sz w:val="22"/>
                <w:szCs w:val="22"/>
              </w:rPr>
              <w:tab/>
              <w:t xml:space="preserve">2022 m. sausio 19 d. Komisijos įgyvendinimo reglamentas </w:t>
            </w:r>
            <w:r>
              <w:rPr>
                <w:color w:val="0563C1"/>
                <w:sz w:val="22"/>
                <w:szCs w:val="22"/>
                <w:u w:val="single"/>
              </w:rPr>
              <w:t>(ES) 2022/79</w:t>
            </w:r>
            <w:r>
              <w:rPr>
                <w:sz w:val="22"/>
                <w:szCs w:val="22"/>
              </w:rPr>
              <w:t xml:space="preserve">, kuriuo nustatomos Europos Parlamento ir Tarybos reglamento </w:t>
            </w:r>
            <w:r>
              <w:rPr>
                <w:color w:val="0563C1"/>
                <w:sz w:val="22"/>
                <w:szCs w:val="22"/>
                <w:u w:val="single"/>
              </w:rPr>
              <w:t>(ES) 2021/1139</w:t>
            </w:r>
            <w:r>
              <w:rPr>
                <w:sz w:val="22"/>
                <w:szCs w:val="22"/>
              </w:rPr>
              <w:t xml:space="preserve"> taikymo taisyklės dėl veiksmų lygmens įgyvendinimo duomenų registravimo, perdavimo ir pateikimo; </w:t>
            </w:r>
          </w:p>
          <w:p w14:paraId="1767A7E3" w14:textId="77777777" w:rsidR="002C6D1A" w:rsidRDefault="00B40D42">
            <w:pPr>
              <w:tabs>
                <w:tab w:val="left" w:pos="452"/>
              </w:tabs>
              <w:spacing w:line="360" w:lineRule="auto"/>
              <w:jc w:val="both"/>
              <w:rPr>
                <w:sz w:val="22"/>
                <w:szCs w:val="22"/>
              </w:rPr>
            </w:pPr>
            <w:r>
              <w:rPr>
                <w:sz w:val="22"/>
                <w:szCs w:val="22"/>
              </w:rPr>
              <w:t>1.5. Lietuvos Respublikos žuvininkystės įstatymas;</w:t>
            </w:r>
          </w:p>
          <w:p w14:paraId="7EA07F69" w14:textId="77777777" w:rsidR="002C6D1A" w:rsidRDefault="00B40D42">
            <w:pPr>
              <w:tabs>
                <w:tab w:val="left" w:pos="452"/>
              </w:tabs>
              <w:spacing w:line="360" w:lineRule="auto"/>
              <w:jc w:val="both"/>
              <w:rPr>
                <w:sz w:val="22"/>
                <w:szCs w:val="22"/>
              </w:rPr>
            </w:pPr>
            <w:r>
              <w:rPr>
                <w:sz w:val="22"/>
                <w:szCs w:val="22"/>
              </w:rPr>
              <w:t>1.6.</w:t>
            </w:r>
            <w:r>
              <w:rPr>
                <w:sz w:val="22"/>
                <w:szCs w:val="22"/>
              </w:rPr>
              <w:tab/>
              <w:t>Lietuvos žuvininkystės sektoriaus 2021–2027 metų programos administravimo taisyklės, patvirtintos Lietuvos Respublikos žemės ūkio ministro 2022 m. gruodžio 12 d. įsakymu Nr. 3D-798 „Dėl Lietuvos žuvininkystės sektoriaus 2021–2027 metų programos administravimo taisyklių patvirtinimo“;</w:t>
            </w:r>
          </w:p>
          <w:p w14:paraId="6E44D814" w14:textId="77777777" w:rsidR="002C6D1A" w:rsidRDefault="00B40D42">
            <w:pPr>
              <w:tabs>
                <w:tab w:val="left" w:pos="452"/>
              </w:tabs>
              <w:spacing w:line="360" w:lineRule="auto"/>
              <w:jc w:val="both"/>
              <w:rPr>
                <w:sz w:val="22"/>
                <w:szCs w:val="22"/>
              </w:rPr>
            </w:pPr>
            <w:r>
              <w:rPr>
                <w:sz w:val="22"/>
                <w:szCs w:val="22"/>
              </w:rPr>
              <w:t>1.7. Lietuvos žuvininkystės sektoriaus 2021–2027 metų programos projektų finansavimo ir administravimo taisyklės (toliau – PFAT), patvirtintos Lietuvos Respublikos žemės ūkio ministro 2023 m. birželio 23 d. įsakymu Nr. 3D-414 „Dėl Lietuvos žuvininkystės sektoriaus 2021–2027 metų programos projektų finansavimo ir administravimo taisyklių patvirtinimo“.</w:t>
            </w:r>
          </w:p>
          <w:p w14:paraId="622257B2" w14:textId="77777777" w:rsidR="002C6D1A" w:rsidRDefault="00B40D42">
            <w:pPr>
              <w:tabs>
                <w:tab w:val="left" w:pos="452"/>
              </w:tabs>
              <w:spacing w:line="360" w:lineRule="auto"/>
              <w:jc w:val="both"/>
              <w:rPr>
                <w:sz w:val="22"/>
                <w:szCs w:val="22"/>
              </w:rPr>
            </w:pPr>
            <w:r>
              <w:rPr>
                <w:sz w:val="22"/>
                <w:szCs w:val="22"/>
              </w:rPr>
              <w:t>1.8. Taikomi trumpiniai:</w:t>
            </w:r>
          </w:p>
          <w:p w14:paraId="5A8B3F2C" w14:textId="77777777" w:rsidR="002C6D1A" w:rsidRDefault="00B40D42">
            <w:pPr>
              <w:spacing w:line="360" w:lineRule="auto"/>
              <w:jc w:val="both"/>
              <w:rPr>
                <w:sz w:val="22"/>
                <w:szCs w:val="22"/>
              </w:rPr>
            </w:pPr>
            <w:r>
              <w:rPr>
                <w:sz w:val="22"/>
                <w:szCs w:val="22"/>
              </w:rPr>
              <w:t xml:space="preserve">1.8.1. Valdymo priemonė – įgyvendinant </w:t>
            </w:r>
            <w:r>
              <w:rPr>
                <w:color w:val="000000"/>
                <w:sz w:val="22"/>
                <w:szCs w:val="22"/>
              </w:rPr>
              <w:t xml:space="preserve">Žuvininkystės programos pirmojo prioriteto „Tausios žvejybos skatinimas ir vandens biologinių išteklių atkūrimas ir išsaugojimas“ priemonės „Paukščius apsaugančių žvejybos valdymo priemonių taikymo ir žinduolių, kurie saugomi, daromos žalos kompensavimo sistemos“ (toliau – Priemonė) kompensacijų skyrimo sąlygų aprašo (toliau – </w:t>
            </w:r>
            <w:r>
              <w:rPr>
                <w:sz w:val="22"/>
                <w:szCs w:val="22"/>
              </w:rPr>
              <w:t xml:space="preserve">Aprašas) 3.1 papunktyje nurodytą finansuojamą projekto veiklą taikoma Aprašo 3.2 papunktyje numatyta paukščius ir žinduolius, kurie saugomi, apsauganti žvejybos valdymo priemonė. </w:t>
            </w:r>
          </w:p>
          <w:p w14:paraId="2B037053" w14:textId="77777777" w:rsidR="002C6D1A" w:rsidRDefault="00B40D42">
            <w:pPr>
              <w:spacing w:line="360" w:lineRule="auto"/>
              <w:jc w:val="both"/>
              <w:rPr>
                <w:sz w:val="22"/>
                <w:szCs w:val="22"/>
              </w:rPr>
            </w:pPr>
            <w:r>
              <w:rPr>
                <w:sz w:val="22"/>
                <w:szCs w:val="22"/>
              </w:rPr>
              <w:t xml:space="preserve">1.8.2. Valdymo priemonių taikymo etapas – laikotarpis, už kurį teikiama veiklos ataskaita ir apskaičiuojama kompensacija už Valdymo priemonių taikymą,  kuris trunka nuo n-1-ųjų metų balandžio 1 d. iki n-ųjų metų kovo 31 d., išskyrus pirmąjį ir galutinį Valdymo priemonių taikymo etapus. Pirmasis Valdymo priemonių taikymo etapas prasideda nuo pagal Aprašą finansuojamos projekto veiklos vykdymo pradžios, o galutinio Valdymo priemonių taikymo etapo pabaiga atitinka projekto sutartyje nustatytą projekto veiklų vykdymo pabaigą. Visas projekto veiklų vykdymo laikotarpis susidaro iš Valdymo priemonių taikymo etapų. </w:t>
            </w:r>
          </w:p>
          <w:p w14:paraId="470B9D96" w14:textId="77777777" w:rsidR="00B40D42" w:rsidRDefault="00B40D42" w:rsidP="00B40D42">
            <w:pPr>
              <w:spacing w:line="360" w:lineRule="auto"/>
              <w:jc w:val="both"/>
              <w:rPr>
                <w:sz w:val="22"/>
                <w:szCs w:val="22"/>
              </w:rPr>
            </w:pPr>
            <w:r>
              <w:rPr>
                <w:sz w:val="22"/>
                <w:szCs w:val="22"/>
              </w:rPr>
              <w:lastRenderedPageBreak/>
              <w:t xml:space="preserve">1.8.3. </w:t>
            </w:r>
            <w:r w:rsidR="00A44554">
              <w:rPr>
                <w:sz w:val="22"/>
                <w:szCs w:val="22"/>
              </w:rPr>
              <w:t>Unikalus žvejybos valandų skaičius – rodiklio, kurį pasiekus išlaidos yra atlyginamos, matavimo vienetas, taikomas Aprašo 3.2.3–3.2.5 papunkčiuose nustatytoms Valdymo priemonėms. Unikaliomis valandomis laikomos konkretaus žvejybos laivo, skirtinguose žvejybos baruose su atitinkama žvejybos valdymo priemone (įrankiu) vykdytos žvejybos (Lietuvos Respublikos žvejybos laivų žvejybos žurnaluose  (toliau – žvejybos žurnalas) įrankiai registruojami atitinkamu kodu su prierašu  „FIX pont“, „FIX ind“ arba „GNS aitv“) trukmė, neatsižvelgiant į sužvejotų žuvų, kai sugauti kiekiai fiksuojami  atskirose žvejybos žurnalo eilutėse, rūšį. Esant tai pačiai žvejybos trukmei, kai sutampa žvejybos (pastangos) pradžios ir pabaigos laikas, unikaliomis valandomis būtų laikomos ir sumuojamos tos valandos, kurių metu žvejyba vyko skirtingais (ne ta</w:t>
            </w:r>
            <w:r w:rsidR="00A44554">
              <w:rPr>
                <w:sz w:val="22"/>
                <w:szCs w:val="22"/>
              </w:rPr>
              <w:t>is pačiais) žvejybos įrankiais.</w:t>
            </w:r>
          </w:p>
          <w:p w14:paraId="3DF8E4DD" w14:textId="3CACFD87" w:rsidR="00A44554" w:rsidRDefault="00A44554" w:rsidP="00B40D42">
            <w:pPr>
              <w:spacing w:line="360" w:lineRule="auto"/>
              <w:jc w:val="both"/>
              <w:rPr>
                <w:sz w:val="22"/>
                <w:szCs w:val="22"/>
              </w:rPr>
            </w:pPr>
            <w:r>
              <w:rPr>
                <w:sz w:val="22"/>
                <w:szCs w:val="22"/>
              </w:rPr>
              <w:t xml:space="preserve">1.8.4. Žvejybos naktų skaičius – rodiklio, kurį pasiekus išlaidos yra atlyginamos, matavimo vienetas, taikomas Aprašo 3.2.2 papunktyje nustatytai Valdymo priemonei. Viena žvejybos naktis – kai laikotarpiu nuo lapkričio 1 d. (imtinai) iki kovo 31 d. (imtinai), vykdant žvejybą statomaisiais tinklais, žvejybos žurnale užfiksuotas žvejybos (pastangos) pradžios laikas po saulėlydžio, o žvejybos (pastangos) pabaigos laikas iki kito saulėtekio (galima paklaida iki 3 minučių imtinai), neatsižvelgiant į sužvejotų žuvų, kai sugauti kiekiai fiksuojami  atskirose žvejybos žurnalo eilutėse, rūšį. Rekomenduojama žvejybos žurnale prie pastabų nurodyti, kad vykdyta žvejyba nakties metu, o saulėlydžio ir saulėtekio laiką tikrinti šiame tinklalapyje </w:t>
            </w:r>
            <w:hyperlink r:id="rId11" w:history="1">
              <w:r w:rsidRPr="00B45276">
                <w:rPr>
                  <w:rStyle w:val="Hipersaitas"/>
                  <w:color w:val="auto"/>
                  <w:sz w:val="22"/>
                  <w:szCs w:val="22"/>
                  <w:u w:val="none"/>
                </w:rPr>
                <w:t>https://www.timeanddate.com/sun/lithuania/klaipeda</w:t>
              </w:r>
            </w:hyperlink>
            <w:r>
              <w:rPr>
                <w:sz w:val="22"/>
                <w:szCs w:val="22"/>
              </w:rPr>
              <w:t>.</w:t>
            </w:r>
          </w:p>
        </w:tc>
      </w:tr>
      <w:tr w:rsidR="002C6D1A" w14:paraId="61A23461" w14:textId="77777777">
        <w:tc>
          <w:tcPr>
            <w:tcW w:w="14709" w:type="dxa"/>
          </w:tcPr>
          <w:p w14:paraId="4FD2B623" w14:textId="77777777" w:rsidR="002C6D1A" w:rsidRDefault="00B40D42">
            <w:pPr>
              <w:spacing w:line="360" w:lineRule="auto"/>
              <w:jc w:val="both"/>
              <w:rPr>
                <w:color w:val="000000"/>
                <w:sz w:val="22"/>
                <w:szCs w:val="22"/>
              </w:rPr>
            </w:pPr>
            <w:r>
              <w:rPr>
                <w:b/>
                <w:bCs/>
                <w:sz w:val="22"/>
                <w:szCs w:val="22"/>
              </w:rPr>
              <w:lastRenderedPageBreak/>
              <w:t>2. P</w:t>
            </w:r>
            <w:r>
              <w:rPr>
                <w:b/>
                <w:bCs/>
                <w:color w:val="000000"/>
                <w:sz w:val="22"/>
                <w:szCs w:val="22"/>
              </w:rPr>
              <w:t>rojektams įgyvendinti skiriama suma</w:t>
            </w:r>
          </w:p>
        </w:tc>
      </w:tr>
      <w:tr w:rsidR="002C6D1A" w14:paraId="385C267F" w14:textId="77777777">
        <w:tc>
          <w:tcPr>
            <w:tcW w:w="14709" w:type="dxa"/>
          </w:tcPr>
          <w:p w14:paraId="26C05B03" w14:textId="77777777" w:rsidR="002C6D1A" w:rsidRDefault="00B40D42">
            <w:pPr>
              <w:spacing w:line="360" w:lineRule="auto"/>
              <w:jc w:val="both"/>
              <w:rPr>
                <w:color w:val="000000"/>
                <w:sz w:val="22"/>
                <w:szCs w:val="22"/>
              </w:rPr>
            </w:pPr>
            <w:r>
              <w:rPr>
                <w:color w:val="000000"/>
                <w:sz w:val="22"/>
                <w:szCs w:val="22"/>
              </w:rPr>
              <w:t>2.1. Pagal Aprašą</w:t>
            </w:r>
            <w:r>
              <w:rPr>
                <w:rFonts w:eastAsia="Calibri"/>
                <w:sz w:val="22"/>
                <w:szCs w:val="22"/>
              </w:rPr>
              <w:t xml:space="preserve"> </w:t>
            </w:r>
            <w:r>
              <w:rPr>
                <w:color w:val="000000"/>
                <w:sz w:val="22"/>
                <w:szCs w:val="22"/>
              </w:rPr>
              <w:t>kompensacijoms skiriama iki 730 000 (septyni šimtai trisdešimt tūkstančių) Europos jūrų reikalų, žvejybos ir akvakultūros fondo (toliau – EJRŽAF) ir bendrojo finansavimo lėšų (70 proc. iš EJRŽAF lėšų ir 30 proc. iš bendrojo finansavimo lėšų).</w:t>
            </w:r>
          </w:p>
          <w:p w14:paraId="3C70398A" w14:textId="77777777" w:rsidR="002C6D1A" w:rsidRDefault="00B40D42">
            <w:pPr>
              <w:spacing w:line="360" w:lineRule="auto"/>
              <w:jc w:val="both"/>
              <w:rPr>
                <w:sz w:val="22"/>
                <w:szCs w:val="22"/>
              </w:rPr>
            </w:pPr>
            <w:r>
              <w:rPr>
                <w:sz w:val="22"/>
                <w:szCs w:val="22"/>
              </w:rPr>
              <w:t xml:space="preserve">2.2. Didžiausia galima paramos suma vienam prašymui skirti kompensaciją (toliau – PSK) ir (arba) vienam paramos gavėjui pagal Aprašą nenustatoma. Kompensacija apskaičiuojama ir išmokama Aprašo 9 punkte nustatyta tvarka. Paramos intensyvumo norma yra 100 proc. Paramos gavėjas negali vienu metu vykdyti daugiau nei vieno projekto, įgyvendinamo pagal Aprašą. </w:t>
            </w:r>
          </w:p>
        </w:tc>
      </w:tr>
      <w:tr w:rsidR="002C6D1A" w14:paraId="4F872A2E" w14:textId="77777777">
        <w:tc>
          <w:tcPr>
            <w:tcW w:w="14709" w:type="dxa"/>
          </w:tcPr>
          <w:p w14:paraId="423D94ED" w14:textId="77777777" w:rsidR="002C6D1A" w:rsidRDefault="00B40D42">
            <w:pPr>
              <w:spacing w:line="360" w:lineRule="auto"/>
              <w:rPr>
                <w:b/>
                <w:sz w:val="22"/>
                <w:szCs w:val="22"/>
              </w:rPr>
            </w:pPr>
            <w:r>
              <w:rPr>
                <w:b/>
                <w:sz w:val="22"/>
                <w:szCs w:val="22"/>
              </w:rPr>
              <w:t>3. Reikalavimai projektams</w:t>
            </w:r>
          </w:p>
        </w:tc>
      </w:tr>
      <w:tr w:rsidR="002C6D1A" w14:paraId="34D2DCA5" w14:textId="77777777">
        <w:tc>
          <w:tcPr>
            <w:tcW w:w="14709" w:type="dxa"/>
          </w:tcPr>
          <w:p w14:paraId="0F69F7A3" w14:textId="597E6452" w:rsidR="002C6D1A" w:rsidRDefault="00B40D42">
            <w:pPr>
              <w:tabs>
                <w:tab w:val="left" w:pos="447"/>
              </w:tabs>
              <w:spacing w:line="360" w:lineRule="auto"/>
              <w:jc w:val="both"/>
              <w:rPr>
                <w:sz w:val="22"/>
                <w:szCs w:val="22"/>
              </w:rPr>
            </w:pPr>
            <w:r>
              <w:rPr>
                <w:sz w:val="22"/>
                <w:szCs w:val="22"/>
              </w:rPr>
              <w:t xml:space="preserve">3.1. </w:t>
            </w:r>
            <w:r w:rsidR="00A44554">
              <w:rPr>
                <w:color w:val="000000"/>
                <w:sz w:val="22"/>
                <w:szCs w:val="22"/>
                <w:lang w:eastAsia="lt-LT"/>
              </w:rPr>
              <w:t>Pagal Aprašą finansuojama projekto veikla (kompensacijos paskirtis) – paukščius ir žinduolius, kurie saugomi, apsaugančių žvejybos valdymo priemonių (Valdymo priemonės) taikymas. Faktiškai taikyta atitinkama Aprašo 3.2 papunktyje nustatyta Valdymo priemonė yra  rodiklis, kurį pasiekus išlaidos yra atlyginamos. Rodiklio pasiekimą Nacionalinė mokėjimo agentūra prie Žemės ūkio ministerijos (toliau – Agentūra) tikrina Aprašo 9 punkte nustatyta tvarka.</w:t>
            </w:r>
            <w:r>
              <w:rPr>
                <w:sz w:val="22"/>
                <w:szCs w:val="22"/>
              </w:rPr>
              <w:t xml:space="preserve"> </w:t>
            </w:r>
          </w:p>
          <w:p w14:paraId="4D3BC623" w14:textId="245DC516" w:rsidR="00A44554" w:rsidRDefault="00A44554" w:rsidP="00A44554">
            <w:pPr>
              <w:tabs>
                <w:tab w:val="left" w:pos="447"/>
              </w:tabs>
              <w:spacing w:line="360" w:lineRule="auto"/>
              <w:jc w:val="both"/>
              <w:rPr>
                <w:sz w:val="22"/>
                <w:szCs w:val="22"/>
              </w:rPr>
            </w:pPr>
            <w:r>
              <w:rPr>
                <w:sz w:val="22"/>
                <w:szCs w:val="22"/>
              </w:rPr>
              <w:t>3.2. Pagal Aprašą kompensuojamos Valdymo priemonės:</w:t>
            </w:r>
          </w:p>
          <w:p w14:paraId="092D00F0" w14:textId="77777777" w:rsidR="00A44554" w:rsidRDefault="00A44554" w:rsidP="00A44554">
            <w:pPr>
              <w:tabs>
                <w:tab w:val="left" w:pos="447"/>
              </w:tabs>
              <w:spacing w:line="360" w:lineRule="auto"/>
              <w:jc w:val="both"/>
              <w:rPr>
                <w:sz w:val="22"/>
                <w:szCs w:val="22"/>
              </w:rPr>
            </w:pPr>
            <w:r>
              <w:rPr>
                <w:sz w:val="22"/>
                <w:szCs w:val="22"/>
              </w:rPr>
              <w:lastRenderedPageBreak/>
              <w:t>3.2.1.  laikinas žvejybos statomaisiais (žiauniniais) tinklais stabdymas 1–15 ir 19–26 Baltijos jūros priekrantės žvejybos baruose (toliau – laikinas žvejybos ribojimas) nuo lapkričio 1 d. (imtinai) iki kovo 31 d. (imtinai) (toliau – laikino žvejybos ribojimo laikotarpis);</w:t>
            </w:r>
          </w:p>
          <w:p w14:paraId="1E89B0F6" w14:textId="77777777" w:rsidR="00A44554" w:rsidRDefault="00A44554" w:rsidP="00A44554">
            <w:pPr>
              <w:tabs>
                <w:tab w:val="left" w:pos="447"/>
              </w:tabs>
              <w:spacing w:line="360" w:lineRule="auto"/>
              <w:jc w:val="both"/>
              <w:rPr>
                <w:sz w:val="22"/>
                <w:szCs w:val="22"/>
              </w:rPr>
            </w:pPr>
            <w:r>
              <w:rPr>
                <w:sz w:val="22"/>
                <w:szCs w:val="22"/>
              </w:rPr>
              <w:t>3.2.2. žvejyba statomaisiais tinklais, kai laikomasi šių sąlygų: tinklai turi būti baigti statyti po saulėlydžio ir baigti ištraukti iki saulėtekio (galima paklaida iki 3 minučių imtinai), nuo lapkričio 1 d. (imtinai) iki kovo 31 d. (imtinai) (toliau – žvejyba statomaisiais tinklais nakties metu);</w:t>
            </w:r>
          </w:p>
          <w:p w14:paraId="23568291" w14:textId="77777777" w:rsidR="00A44554" w:rsidRDefault="00A44554" w:rsidP="00A44554">
            <w:pPr>
              <w:tabs>
                <w:tab w:val="left" w:pos="447"/>
              </w:tabs>
              <w:spacing w:line="360" w:lineRule="auto"/>
              <w:jc w:val="both"/>
              <w:rPr>
                <w:sz w:val="22"/>
                <w:szCs w:val="22"/>
              </w:rPr>
            </w:pPr>
            <w:r>
              <w:rPr>
                <w:sz w:val="22"/>
                <w:szCs w:val="22"/>
              </w:rPr>
              <w:t>3.2.3. žvejyba statomaisiais tinklais su prie tinklų pritvirtintais plėšriuosius paukščius imituojančiais aitvarais (toliau – žvejyba statomaisiais tinklais su aitvarais). Žvejybos žurnaluose įrankiai registruojami atitinkamu kodu su prierašu  „GNS aitv“. Aitvarų skaičius statant tinklus nėra ribojamas;</w:t>
            </w:r>
          </w:p>
          <w:p w14:paraId="48DBCD2A" w14:textId="77777777" w:rsidR="00A44554" w:rsidRDefault="00A44554" w:rsidP="00A44554">
            <w:pPr>
              <w:tabs>
                <w:tab w:val="left" w:pos="447"/>
              </w:tabs>
              <w:spacing w:line="360" w:lineRule="auto"/>
              <w:jc w:val="both"/>
              <w:rPr>
                <w:sz w:val="22"/>
                <w:szCs w:val="22"/>
              </w:rPr>
            </w:pPr>
            <w:r>
              <w:rPr>
                <w:sz w:val="22"/>
                <w:szCs w:val="22"/>
              </w:rPr>
              <w:t>3.2.4. žvejyba tipinėmis gaudyklėmis su ruonių patekimą ribojančiais įdėklais įgerkliuose (toliau – žvejyba tipinėmis gaudyklėmis su apsaugančiu įdėklu). Žvejybos žurnaluose įrankiai registruojami atitinkamu kodu su prierašu  „FIX ind“;</w:t>
            </w:r>
          </w:p>
          <w:p w14:paraId="6F4DE248" w14:textId="184091D5" w:rsidR="002C6D1A" w:rsidRDefault="00A44554" w:rsidP="00A44554">
            <w:pPr>
              <w:tabs>
                <w:tab w:val="left" w:pos="447"/>
              </w:tabs>
              <w:spacing w:line="360" w:lineRule="auto"/>
              <w:jc w:val="both"/>
              <w:rPr>
                <w:sz w:val="22"/>
                <w:szCs w:val="22"/>
              </w:rPr>
            </w:pPr>
            <w:r>
              <w:rPr>
                <w:sz w:val="22"/>
                <w:szCs w:val="22"/>
              </w:rPr>
              <w:t>3.2.5. žvejyba iškylančiomis / pontoninėmis gaudyklėmis (toliau – žvejyba pontoninėmis gaudyklėmis). Žvejybos žurnaluose įrankiai registruojami atitinkamu kodu su prierašu „FIX pont“.</w:t>
            </w:r>
          </w:p>
          <w:p w14:paraId="19EEDB98" w14:textId="77777777" w:rsidR="002C6D1A" w:rsidRDefault="00B40D42">
            <w:pPr>
              <w:tabs>
                <w:tab w:val="left" w:pos="447"/>
              </w:tabs>
              <w:spacing w:line="360" w:lineRule="auto"/>
              <w:jc w:val="both"/>
              <w:rPr>
                <w:sz w:val="22"/>
                <w:szCs w:val="22"/>
              </w:rPr>
            </w:pPr>
            <w:r>
              <w:rPr>
                <w:sz w:val="22"/>
                <w:szCs w:val="22"/>
              </w:rPr>
              <w:t xml:space="preserve">3.3. Visi Aprašo keitimai, susiję su Valdymo priemonėmis ir jų taikymu, galioja visiems įsakymo, kuriuo keičiamas Aprašas, įsigaliojimo metu įgyvendinamiems arba vertinamiems projektams, nuo to įsakymo įsigaliojimo dienos.  </w:t>
            </w:r>
          </w:p>
          <w:p w14:paraId="7B6B1E5F" w14:textId="0C5C2609" w:rsidR="002C6D1A" w:rsidRDefault="00B40D42">
            <w:pPr>
              <w:tabs>
                <w:tab w:val="left" w:pos="447"/>
              </w:tabs>
              <w:spacing w:line="360" w:lineRule="auto"/>
              <w:jc w:val="both"/>
              <w:rPr>
                <w:sz w:val="22"/>
                <w:szCs w:val="22"/>
              </w:rPr>
            </w:pPr>
            <w:r>
              <w:rPr>
                <w:sz w:val="22"/>
                <w:szCs w:val="22"/>
              </w:rPr>
              <w:t xml:space="preserve">3.4. </w:t>
            </w:r>
            <w:r w:rsidR="00A44554">
              <w:rPr>
                <w:sz w:val="22"/>
                <w:szCs w:val="22"/>
              </w:rPr>
              <w:t>Galimi pareiškėjai – įmonės (fiziniai (verslininkai) ir juridiniai asmenys), vykdančios verslinę žvejybą Baltijos jūros priekrantės žvejybos zonoje ir turinčios perleidžiamąją teisę naudoti verslinės žvejybos įrankius priekrantės žvejybai. Fizinis asmuo (verslininkas) priskiriamas prie 1 punkto 4 stulpelyje nurodytų „04 Privati įmonė – labai maža“, juridiniai asmenys priskiriami vadovaujantis įmonės dydžiu, kaip jis apibrėžtas Lietuvos Respublikos smulkiojo ir vidutinio verslo plėtros įstatyme.</w:t>
            </w:r>
          </w:p>
          <w:p w14:paraId="57791FA4" w14:textId="77777777" w:rsidR="002C6D1A" w:rsidRDefault="00B40D42">
            <w:pPr>
              <w:tabs>
                <w:tab w:val="left" w:pos="447"/>
              </w:tabs>
              <w:spacing w:line="360" w:lineRule="auto"/>
              <w:jc w:val="both"/>
              <w:rPr>
                <w:sz w:val="22"/>
                <w:szCs w:val="22"/>
              </w:rPr>
            </w:pPr>
            <w:r>
              <w:rPr>
                <w:kern w:val="2"/>
                <w:sz w:val="22"/>
                <w:szCs w:val="22"/>
                <w14:ligatures w14:val="standardContextual"/>
              </w:rPr>
              <w:t>3.5.</w:t>
            </w:r>
            <w:r>
              <w:rPr>
                <w:kern w:val="2"/>
                <w:sz w:val="22"/>
                <w:szCs w:val="22"/>
                <w14:ligatures w14:val="standardContextual"/>
              </w:rPr>
              <w:tab/>
            </w:r>
            <w:r>
              <w:rPr>
                <w:sz w:val="22"/>
                <w:szCs w:val="22"/>
              </w:rPr>
              <w:t>PSK teikiami be partnerių.</w:t>
            </w:r>
          </w:p>
          <w:p w14:paraId="5CBFBD9A" w14:textId="77777777" w:rsidR="002C6D1A" w:rsidRDefault="00B40D42">
            <w:pPr>
              <w:tabs>
                <w:tab w:val="left" w:pos="447"/>
              </w:tabs>
              <w:spacing w:line="360" w:lineRule="auto"/>
              <w:jc w:val="both"/>
              <w:rPr>
                <w:sz w:val="22"/>
                <w:szCs w:val="22"/>
              </w:rPr>
            </w:pPr>
            <w:r>
              <w:rPr>
                <w:kern w:val="2"/>
                <w:sz w:val="22"/>
                <w:szCs w:val="22"/>
                <w14:ligatures w14:val="standardContextual"/>
              </w:rPr>
              <w:t>3.6.</w:t>
            </w:r>
            <w:r>
              <w:rPr>
                <w:kern w:val="2"/>
                <w:sz w:val="22"/>
                <w:szCs w:val="22"/>
                <w14:ligatures w14:val="standardContextual"/>
              </w:rPr>
              <w:tab/>
            </w:r>
            <w:r>
              <w:rPr>
                <w:sz w:val="22"/>
                <w:szCs w:val="22"/>
              </w:rPr>
              <w:t>Projekto veikla gali būti vykdoma nuo 2024 m. lapkričio 1 d. iki 2029 m. gruodžio 31 d.</w:t>
            </w:r>
          </w:p>
          <w:p w14:paraId="42D9B3C8" w14:textId="77777777" w:rsidR="002C6D1A" w:rsidRDefault="00B40D42">
            <w:pPr>
              <w:spacing w:line="360" w:lineRule="auto"/>
              <w:jc w:val="both"/>
              <w:rPr>
                <w:sz w:val="22"/>
                <w:szCs w:val="22"/>
              </w:rPr>
            </w:pPr>
            <w:r>
              <w:rPr>
                <w:sz w:val="22"/>
                <w:szCs w:val="22"/>
              </w:rPr>
              <w:t>3.7. Projektų bendrasis stebėsenos rodiklis, taikomas projektui: „Naudą gaunantys asmenys (asmenų skaičius)“.  Rezultato rodiklio reikšmė nustatoma pagal vidutinį metų sąrašinį darbuotojų skaičių. Rezultato rodiklio pasiekimas įskaitomas pradedant nuo pirmojo paramos (kompensacijos)  išmokėjimo. Rezultato rodiklio reikšmės pasiekimas vertinamas projekto įgyvendinimo pabaigoje, galutinė rezultato rodiklio pasiekimo reikšmė lygi tų metų (pradedant kalendoriniais metais, kai prasidėjo pirmasis Valdymo priemonių taikymo etapas, ir baigiant projekto veiklų vykdymo pabaigos metais) vidutiniam metiniam sąrašinių darbuotojų skaičiui, kuriais jis buvo didžiausias.</w:t>
            </w:r>
          </w:p>
        </w:tc>
      </w:tr>
      <w:tr w:rsidR="002C6D1A" w14:paraId="4F36E965" w14:textId="77777777">
        <w:trPr>
          <w:trHeight w:val="893"/>
        </w:trPr>
        <w:tc>
          <w:tcPr>
            <w:tcW w:w="14709" w:type="dxa"/>
          </w:tcPr>
          <w:tbl>
            <w:tblPr>
              <w:tblW w:w="14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6"/>
              <w:gridCol w:w="1701"/>
              <w:gridCol w:w="2127"/>
              <w:gridCol w:w="3506"/>
            </w:tblGrid>
            <w:tr w:rsidR="002C6D1A" w14:paraId="10618DA7" w14:textId="77777777">
              <w:trPr>
                <w:trHeight w:val="403"/>
              </w:trPr>
              <w:tc>
                <w:tcPr>
                  <w:tcW w:w="7246" w:type="dxa"/>
                  <w:shd w:val="clear" w:color="auto" w:fill="auto"/>
                </w:tcPr>
                <w:p w14:paraId="18676961" w14:textId="77777777" w:rsidR="002C6D1A" w:rsidRDefault="00B40D42">
                  <w:pPr>
                    <w:rPr>
                      <w:b/>
                      <w:bCs/>
                      <w:sz w:val="22"/>
                      <w:szCs w:val="22"/>
                    </w:rPr>
                  </w:pPr>
                  <w:r>
                    <w:rPr>
                      <w:b/>
                      <w:bCs/>
                      <w:sz w:val="22"/>
                      <w:szCs w:val="22"/>
                    </w:rPr>
                    <w:lastRenderedPageBreak/>
                    <w:t>Rodiklio pavadinimas  </w:t>
                  </w:r>
                </w:p>
              </w:tc>
              <w:tc>
                <w:tcPr>
                  <w:tcW w:w="1701" w:type="dxa"/>
                  <w:shd w:val="clear" w:color="auto" w:fill="auto"/>
                </w:tcPr>
                <w:p w14:paraId="524273FF" w14:textId="77777777" w:rsidR="002C6D1A" w:rsidRDefault="00B40D42">
                  <w:pPr>
                    <w:rPr>
                      <w:b/>
                      <w:bCs/>
                      <w:sz w:val="22"/>
                      <w:szCs w:val="22"/>
                    </w:rPr>
                  </w:pPr>
                  <w:r>
                    <w:rPr>
                      <w:b/>
                      <w:bCs/>
                      <w:sz w:val="22"/>
                      <w:szCs w:val="22"/>
                    </w:rPr>
                    <w:t>Rodiklio kodas </w:t>
                  </w:r>
                </w:p>
              </w:tc>
              <w:tc>
                <w:tcPr>
                  <w:tcW w:w="2127" w:type="dxa"/>
                  <w:shd w:val="clear" w:color="auto" w:fill="auto"/>
                </w:tcPr>
                <w:p w14:paraId="5A68DB98" w14:textId="77777777" w:rsidR="002C6D1A" w:rsidRDefault="00B40D42">
                  <w:pPr>
                    <w:rPr>
                      <w:b/>
                      <w:bCs/>
                      <w:sz w:val="22"/>
                      <w:szCs w:val="22"/>
                    </w:rPr>
                  </w:pPr>
                  <w:r>
                    <w:rPr>
                      <w:b/>
                      <w:bCs/>
                      <w:sz w:val="22"/>
                      <w:szCs w:val="22"/>
                    </w:rPr>
                    <w:t>Matavimo vienetai </w:t>
                  </w:r>
                </w:p>
              </w:tc>
              <w:tc>
                <w:tcPr>
                  <w:tcW w:w="3506" w:type="dxa"/>
                  <w:shd w:val="clear" w:color="auto" w:fill="auto"/>
                </w:tcPr>
                <w:p w14:paraId="03BD4DE2" w14:textId="77777777" w:rsidR="002C6D1A" w:rsidRDefault="00B40D42">
                  <w:pPr>
                    <w:rPr>
                      <w:b/>
                      <w:bCs/>
                      <w:sz w:val="22"/>
                      <w:szCs w:val="22"/>
                    </w:rPr>
                  </w:pPr>
                  <w:r>
                    <w:rPr>
                      <w:b/>
                      <w:bCs/>
                      <w:sz w:val="22"/>
                      <w:szCs w:val="22"/>
                    </w:rPr>
                    <w:t>Siektina reikšmė (priemonės lygiu)</w:t>
                  </w:r>
                </w:p>
              </w:tc>
            </w:tr>
            <w:tr w:rsidR="002C6D1A" w14:paraId="0666A730" w14:textId="77777777">
              <w:trPr>
                <w:trHeight w:val="318"/>
              </w:trPr>
              <w:tc>
                <w:tcPr>
                  <w:tcW w:w="7246" w:type="dxa"/>
                  <w:vAlign w:val="center"/>
                </w:tcPr>
                <w:p w14:paraId="0983FC24" w14:textId="77777777" w:rsidR="002C6D1A" w:rsidRDefault="00B40D42">
                  <w:pPr>
                    <w:rPr>
                      <w:sz w:val="22"/>
                      <w:szCs w:val="22"/>
                    </w:rPr>
                  </w:pPr>
                  <w:r>
                    <w:rPr>
                      <w:sz w:val="22"/>
                      <w:szCs w:val="22"/>
                    </w:rPr>
                    <w:t>Naudą gaunantys asmenys (asmenų skaičius), vnt.</w:t>
                  </w:r>
                </w:p>
              </w:tc>
              <w:tc>
                <w:tcPr>
                  <w:tcW w:w="1701" w:type="dxa"/>
                  <w:vAlign w:val="center"/>
                </w:tcPr>
                <w:p w14:paraId="276C9499" w14:textId="77777777" w:rsidR="002C6D1A" w:rsidRDefault="00B40D42">
                  <w:pPr>
                    <w:jc w:val="center"/>
                    <w:rPr>
                      <w:sz w:val="22"/>
                      <w:szCs w:val="22"/>
                      <w:lang w:val="en-US"/>
                    </w:rPr>
                  </w:pPr>
                  <w:r>
                    <w:rPr>
                      <w:sz w:val="22"/>
                      <w:szCs w:val="22"/>
                    </w:rPr>
                    <w:t>CR 0</w:t>
                  </w:r>
                  <w:r>
                    <w:rPr>
                      <w:sz w:val="22"/>
                      <w:szCs w:val="22"/>
                      <w:lang w:val="en-US"/>
                    </w:rPr>
                    <w:t>8</w:t>
                  </w:r>
                </w:p>
              </w:tc>
              <w:tc>
                <w:tcPr>
                  <w:tcW w:w="2127" w:type="dxa"/>
                  <w:vAlign w:val="center"/>
                </w:tcPr>
                <w:p w14:paraId="0B8D68CF" w14:textId="77777777" w:rsidR="002C6D1A" w:rsidRDefault="00B40D42">
                  <w:pPr>
                    <w:jc w:val="center"/>
                    <w:rPr>
                      <w:sz w:val="22"/>
                      <w:szCs w:val="22"/>
                    </w:rPr>
                  </w:pPr>
                  <w:r>
                    <w:rPr>
                      <w:sz w:val="22"/>
                      <w:szCs w:val="22"/>
                    </w:rPr>
                    <w:t>Vnt.</w:t>
                  </w:r>
                </w:p>
              </w:tc>
              <w:tc>
                <w:tcPr>
                  <w:tcW w:w="3506" w:type="dxa"/>
                  <w:vAlign w:val="center"/>
                </w:tcPr>
                <w:p w14:paraId="4AFA7BA8" w14:textId="77777777" w:rsidR="002C6D1A" w:rsidRDefault="00B40D42">
                  <w:pPr>
                    <w:jc w:val="center"/>
                    <w:rPr>
                      <w:sz w:val="22"/>
                      <w:szCs w:val="22"/>
                    </w:rPr>
                  </w:pPr>
                  <w:r>
                    <w:rPr>
                      <w:sz w:val="22"/>
                      <w:szCs w:val="22"/>
                    </w:rPr>
                    <w:t>83</w:t>
                  </w:r>
                </w:p>
              </w:tc>
            </w:tr>
          </w:tbl>
          <w:p w14:paraId="2B289708" w14:textId="77777777" w:rsidR="002C6D1A" w:rsidRDefault="002C6D1A">
            <w:pPr>
              <w:rPr>
                <w:sz w:val="22"/>
                <w:szCs w:val="22"/>
              </w:rPr>
            </w:pPr>
          </w:p>
        </w:tc>
      </w:tr>
      <w:tr w:rsidR="002C6D1A" w14:paraId="2D969E6F" w14:textId="77777777">
        <w:trPr>
          <w:trHeight w:val="285"/>
        </w:trPr>
        <w:tc>
          <w:tcPr>
            <w:tcW w:w="14709" w:type="dxa"/>
          </w:tcPr>
          <w:p w14:paraId="08A49938" w14:textId="77777777" w:rsidR="002C6D1A" w:rsidRDefault="00B40D42">
            <w:pPr>
              <w:rPr>
                <w:sz w:val="22"/>
                <w:szCs w:val="22"/>
              </w:rPr>
            </w:pPr>
            <w:r>
              <w:rPr>
                <w:b/>
                <w:sz w:val="22"/>
                <w:szCs w:val="22"/>
              </w:rPr>
              <w:t>4. Horizontaliųjų principų (toliau – HP) ir su jais susijusių Europos Sąjungos pagrindinių teisių chartijos (toliau – Chartija) nuostatų laikymosi reikalavimai</w:t>
            </w:r>
          </w:p>
        </w:tc>
      </w:tr>
      <w:tr w:rsidR="002C6D1A" w14:paraId="327E5D4C" w14:textId="77777777">
        <w:tc>
          <w:tcPr>
            <w:tcW w:w="14709" w:type="dxa"/>
          </w:tcPr>
          <w:p w14:paraId="0648DECC" w14:textId="77777777" w:rsidR="002C6D1A" w:rsidRDefault="00B40D42">
            <w:pPr>
              <w:spacing w:line="360" w:lineRule="auto"/>
              <w:jc w:val="both"/>
              <w:rPr>
                <w:sz w:val="22"/>
                <w:szCs w:val="22"/>
              </w:rPr>
            </w:pPr>
            <w:r>
              <w:rPr>
                <w:sz w:val="22"/>
                <w:szCs w:val="22"/>
              </w:rPr>
              <w:t xml:space="preserve">4.1. Priemonės įgyvendinimas nedaro tiesioginio poveikio Chartijos nuostatoms. Projekto įgyvendinimo metu neturi būti pažeidžiamos Chartijoje nustatytų pagrindinių teisių nuostatos: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w:t>
            </w:r>
          </w:p>
          <w:p w14:paraId="3497DCC0" w14:textId="77777777" w:rsidR="002C6D1A" w:rsidRDefault="00B40D42">
            <w:pPr>
              <w:spacing w:line="360" w:lineRule="auto"/>
              <w:jc w:val="both"/>
              <w:rPr>
                <w:sz w:val="22"/>
                <w:szCs w:val="22"/>
              </w:rPr>
            </w:pPr>
            <w:r>
              <w:rPr>
                <w:sz w:val="22"/>
                <w:szCs w:val="22"/>
              </w:rPr>
              <w:t xml:space="preserve">4.2. Projekto įgyvendinimo metu neturi būti pažeidžiami HP: </w:t>
            </w:r>
            <w:r>
              <w:rPr>
                <w:b/>
                <w:bCs/>
                <w:sz w:val="22"/>
                <w:szCs w:val="22"/>
              </w:rPr>
              <w:t>darnaus vystymosi</w:t>
            </w:r>
            <w:r>
              <w:rPr>
                <w:sz w:val="22"/>
                <w:szCs w:val="22"/>
              </w:rPr>
              <w:t xml:space="preserve">, įskaitant reikšmingos žalos nedarymo principą, </w:t>
            </w:r>
            <w:r>
              <w:rPr>
                <w:b/>
                <w:bCs/>
                <w:sz w:val="22"/>
                <w:szCs w:val="22"/>
              </w:rPr>
              <w:t>lygių galimybių ir nediskriminavimo</w:t>
            </w:r>
            <w:r>
              <w:rPr>
                <w:sz w:val="22"/>
                <w:szCs w:val="22"/>
              </w:rPr>
              <w:t xml:space="preserve"> (dėl lyties, rasės, tautybės, pilietybės, kalbos, kilmės, socialinės padėties, tikėjimo, įsitikinimų ar pažiūrų, amžiaus, lytinės orientacijos, etninės priklausomybės, religijos, negalios ar kt.), įskaitant prieinamumo visiems reikalavimo užtikrinimą.</w:t>
            </w:r>
          </w:p>
          <w:p w14:paraId="40FC84C5" w14:textId="77777777" w:rsidR="002C6D1A" w:rsidRDefault="00B40D42">
            <w:pPr>
              <w:spacing w:line="360" w:lineRule="auto"/>
              <w:jc w:val="both"/>
              <w:rPr>
                <w:sz w:val="22"/>
                <w:szCs w:val="22"/>
              </w:rPr>
            </w:pPr>
            <w:r>
              <w:rPr>
                <w:sz w:val="22"/>
                <w:szCs w:val="22"/>
              </w:rPr>
              <w:t xml:space="preserve">4.3. Pagal Aprašą įgyvendinami projektai tiesiogiai (projekto tikslas, tikslinė grupė, projekto veikla, paramos gavėjai, rodikliai, siekiami rezultatai) neprisideda prie HP įgyvendinimo. </w:t>
            </w:r>
          </w:p>
        </w:tc>
      </w:tr>
      <w:tr w:rsidR="002C6D1A" w14:paraId="5D7E6B19" w14:textId="77777777">
        <w:tc>
          <w:tcPr>
            <w:tcW w:w="14709" w:type="dxa"/>
          </w:tcPr>
          <w:p w14:paraId="34CDFD62" w14:textId="77777777" w:rsidR="002C6D1A" w:rsidRDefault="00B40D42">
            <w:pPr>
              <w:spacing w:line="360" w:lineRule="auto"/>
              <w:jc w:val="both"/>
              <w:rPr>
                <w:b/>
                <w:sz w:val="22"/>
                <w:szCs w:val="22"/>
              </w:rPr>
            </w:pPr>
            <w:r>
              <w:rPr>
                <w:b/>
                <w:sz w:val="22"/>
                <w:szCs w:val="22"/>
              </w:rPr>
              <w:t>5. Reikalavimai teikiant valstybės pagalbą arba nereikšmingą (</w:t>
            </w:r>
            <w:r>
              <w:rPr>
                <w:b/>
                <w:i/>
                <w:iCs/>
                <w:sz w:val="22"/>
                <w:szCs w:val="22"/>
              </w:rPr>
              <w:t>de minimis</w:t>
            </w:r>
            <w:r>
              <w:rPr>
                <w:b/>
                <w:sz w:val="22"/>
                <w:szCs w:val="22"/>
              </w:rPr>
              <w:t xml:space="preserve">) pagalbą </w:t>
            </w:r>
          </w:p>
        </w:tc>
      </w:tr>
      <w:tr w:rsidR="002C6D1A" w14:paraId="78F44B4F" w14:textId="77777777">
        <w:tc>
          <w:tcPr>
            <w:tcW w:w="14709" w:type="dxa"/>
          </w:tcPr>
          <w:p w14:paraId="55DF7765" w14:textId="77777777" w:rsidR="002C6D1A" w:rsidRDefault="00B40D42">
            <w:pPr>
              <w:spacing w:line="360" w:lineRule="auto"/>
              <w:jc w:val="both"/>
              <w:rPr>
                <w:i/>
                <w:iCs/>
                <w:sz w:val="22"/>
                <w:szCs w:val="22"/>
              </w:rPr>
            </w:pPr>
            <w:r>
              <w:rPr>
                <w:sz w:val="22"/>
                <w:szCs w:val="22"/>
              </w:rPr>
              <w:t>Valstybės pagalba, kaip ji apibrėžta Sutarties dėl Europos Sąjungos veikimo 107 straipsnyje, neteikiama.</w:t>
            </w:r>
          </w:p>
        </w:tc>
      </w:tr>
      <w:tr w:rsidR="002C6D1A" w14:paraId="69A8C1F0" w14:textId="77777777">
        <w:tc>
          <w:tcPr>
            <w:tcW w:w="14709" w:type="dxa"/>
          </w:tcPr>
          <w:p w14:paraId="4EFA0BEF" w14:textId="77777777" w:rsidR="002C6D1A" w:rsidRDefault="00B40D42">
            <w:pPr>
              <w:spacing w:line="360" w:lineRule="auto"/>
              <w:jc w:val="both"/>
              <w:rPr>
                <w:i/>
                <w:sz w:val="22"/>
                <w:szCs w:val="22"/>
              </w:rPr>
            </w:pPr>
            <w:r>
              <w:rPr>
                <w:b/>
                <w:sz w:val="22"/>
                <w:szCs w:val="22"/>
              </w:rPr>
              <w:t>6. Projektų atrankos kriterijai</w:t>
            </w:r>
          </w:p>
        </w:tc>
      </w:tr>
      <w:tr w:rsidR="002C6D1A" w14:paraId="497849ED" w14:textId="77777777">
        <w:tc>
          <w:tcPr>
            <w:tcW w:w="14709" w:type="dxa"/>
          </w:tcPr>
          <w:p w14:paraId="0A250688" w14:textId="77777777" w:rsidR="002C6D1A" w:rsidRDefault="00B40D42">
            <w:pPr>
              <w:spacing w:line="360" w:lineRule="auto"/>
              <w:rPr>
                <w:b/>
                <w:sz w:val="22"/>
                <w:szCs w:val="22"/>
              </w:rPr>
            </w:pPr>
            <w:r>
              <w:rPr>
                <w:iCs/>
                <w:sz w:val="22"/>
                <w:szCs w:val="22"/>
              </w:rPr>
              <w:t>Projektas turi atitikti bendruosius projektų atrankos kriterijus, nustatytus PFAT 3 priede, išskyrus 1, 6, 8 punktuose ir 2.3, 3.2.9, 3.2.10, 3.3, 3.4, 3.5, 3.6, 5.1, 5.2 ir 7.2 papunkčiuose nustatytus bendruosius projektų atrankos kriterijus ir (ar) vertinimo aspektus.</w:t>
            </w:r>
          </w:p>
        </w:tc>
      </w:tr>
      <w:tr w:rsidR="002C6D1A" w14:paraId="1D1ACC0B" w14:textId="77777777">
        <w:tc>
          <w:tcPr>
            <w:tcW w:w="14709" w:type="dxa"/>
          </w:tcPr>
          <w:p w14:paraId="26B8DD9E" w14:textId="77777777" w:rsidR="002C6D1A" w:rsidRDefault="00B40D42">
            <w:pPr>
              <w:spacing w:line="360" w:lineRule="auto"/>
              <w:rPr>
                <w:b/>
                <w:sz w:val="22"/>
                <w:szCs w:val="22"/>
              </w:rPr>
            </w:pPr>
            <w:r>
              <w:rPr>
                <w:b/>
                <w:sz w:val="22"/>
                <w:szCs w:val="22"/>
              </w:rPr>
              <w:t xml:space="preserve">7. Reikalavimai įgyvendinus projekto veiklą </w:t>
            </w:r>
          </w:p>
        </w:tc>
      </w:tr>
      <w:tr w:rsidR="002C6D1A" w14:paraId="6ABAEBE4" w14:textId="77777777">
        <w:tc>
          <w:tcPr>
            <w:tcW w:w="14709" w:type="dxa"/>
          </w:tcPr>
          <w:p w14:paraId="28128D13" w14:textId="77777777" w:rsidR="002C6D1A" w:rsidRDefault="00B40D42">
            <w:pPr>
              <w:spacing w:line="360" w:lineRule="auto"/>
              <w:jc w:val="both"/>
              <w:rPr>
                <w:iCs/>
                <w:sz w:val="22"/>
                <w:szCs w:val="22"/>
              </w:rPr>
            </w:pPr>
            <w:r>
              <w:rPr>
                <w:sz w:val="22"/>
                <w:szCs w:val="22"/>
              </w:rPr>
              <w:t xml:space="preserve">Tęstinumo laikotarpis (reikalavimai) netaikomas. </w:t>
            </w:r>
          </w:p>
        </w:tc>
      </w:tr>
      <w:tr w:rsidR="002C6D1A" w14:paraId="17F1BED6" w14:textId="77777777">
        <w:tc>
          <w:tcPr>
            <w:tcW w:w="14709" w:type="dxa"/>
          </w:tcPr>
          <w:p w14:paraId="1FF86970" w14:textId="77777777" w:rsidR="002C6D1A" w:rsidRDefault="00B40D42">
            <w:pPr>
              <w:spacing w:line="360" w:lineRule="auto"/>
              <w:rPr>
                <w:sz w:val="22"/>
                <w:szCs w:val="22"/>
              </w:rPr>
            </w:pPr>
            <w:r>
              <w:rPr>
                <w:b/>
                <w:sz w:val="22"/>
                <w:szCs w:val="22"/>
              </w:rPr>
              <w:t>8. Kiti reikalavimai</w:t>
            </w:r>
          </w:p>
        </w:tc>
      </w:tr>
      <w:tr w:rsidR="002C6D1A" w14:paraId="3B04434B" w14:textId="77777777">
        <w:tc>
          <w:tcPr>
            <w:tcW w:w="14709" w:type="dxa"/>
          </w:tcPr>
          <w:p w14:paraId="3032E6B8" w14:textId="77777777" w:rsidR="002C6D1A" w:rsidRDefault="00B40D42">
            <w:pPr>
              <w:tabs>
                <w:tab w:val="left" w:pos="1134"/>
              </w:tabs>
              <w:spacing w:line="360" w:lineRule="auto"/>
              <w:jc w:val="both"/>
              <w:rPr>
                <w:iCs/>
                <w:sz w:val="22"/>
                <w:szCs w:val="22"/>
              </w:rPr>
            </w:pPr>
            <w:r>
              <w:rPr>
                <w:iCs/>
                <w:sz w:val="22"/>
                <w:szCs w:val="22"/>
              </w:rPr>
              <w:t>8.1. PSK teikiamas, administruojamas ir įgyvendinamas laikantis PFAT nustatytų reikalavimų ir tvarkos. PSK forma patvirtinta Aprašo 1 priede.</w:t>
            </w:r>
          </w:p>
          <w:p w14:paraId="2BC9E58E" w14:textId="61057E5E" w:rsidR="002C6D1A" w:rsidRDefault="00B40D42">
            <w:pPr>
              <w:tabs>
                <w:tab w:val="left" w:pos="1134"/>
              </w:tabs>
              <w:spacing w:line="360" w:lineRule="auto"/>
              <w:jc w:val="both"/>
              <w:rPr>
                <w:rFonts w:eastAsia="Calibri"/>
                <w:sz w:val="22"/>
                <w:szCs w:val="22"/>
              </w:rPr>
            </w:pPr>
            <w:r>
              <w:rPr>
                <w:iCs/>
                <w:sz w:val="22"/>
                <w:szCs w:val="22"/>
              </w:rPr>
              <w:lastRenderedPageBreak/>
              <w:t xml:space="preserve">8.2. </w:t>
            </w:r>
            <w:r w:rsidR="00A44554">
              <w:rPr>
                <w:sz w:val="22"/>
                <w:szCs w:val="22"/>
              </w:rPr>
              <w:t>Sprendimus dėl kompensacijų skyrimo priima Agentūros direktorius arba jo įgaliotas asmuo Agentūros nustatyta sprendimų dėl projektų finansavimo priėmimo tvarka. Sprendime dėl kompensacijų skyrimo didžiausia PSK skiriamos paramos suma nenustatoma.</w:t>
            </w:r>
          </w:p>
          <w:p w14:paraId="7B7841B6" w14:textId="77777777" w:rsidR="002C6D1A" w:rsidRDefault="00B40D42">
            <w:pPr>
              <w:tabs>
                <w:tab w:val="left" w:pos="1134"/>
              </w:tabs>
              <w:spacing w:line="360" w:lineRule="auto"/>
              <w:jc w:val="both"/>
              <w:rPr>
                <w:rFonts w:eastAsia="Calibri"/>
                <w:sz w:val="22"/>
                <w:szCs w:val="22"/>
              </w:rPr>
            </w:pPr>
            <w:r>
              <w:rPr>
                <w:rFonts w:eastAsia="Calibri"/>
                <w:sz w:val="22"/>
                <w:szCs w:val="22"/>
              </w:rPr>
              <w:t>8.3. Priėmus sprendimą dėl kompensacijų skyrimo, sudaroma kompensacijos skyrimo sutartis (forma pateikiama Aprašo 2 priede) neviršijant Aprašo 3.6 papunktyje nustatyto galimo projekto veiklos vykdymo laikotarpio. Po kompensacijos skyrimo sutarties pasirašymo gali būti:</w:t>
            </w:r>
          </w:p>
          <w:p w14:paraId="4F7DEE1C" w14:textId="77777777" w:rsidR="002C6D1A" w:rsidRDefault="00B40D42">
            <w:pPr>
              <w:tabs>
                <w:tab w:val="left" w:pos="1134"/>
              </w:tabs>
              <w:spacing w:line="360" w:lineRule="auto"/>
              <w:jc w:val="both"/>
              <w:rPr>
                <w:rFonts w:eastAsia="Calibri"/>
                <w:sz w:val="22"/>
                <w:szCs w:val="22"/>
              </w:rPr>
            </w:pPr>
            <w:r>
              <w:rPr>
                <w:rFonts w:eastAsia="Calibri"/>
                <w:sz w:val="22"/>
                <w:szCs w:val="22"/>
              </w:rPr>
              <w:t>8.3.1. paramos gavėjo prašymu keičiama projekto veiklų vykdymo pabaigos data (pratęsiamas projekto veiklų vykdymo laikotarpis, neviršijant Aprašo 3.6 papunktyje nustatyto galimo projekto veiklos vykdymo laikotarpio, arba sutrumpinamas), taip pat numatomos taikyti Valdymo priemonės.</w:t>
            </w:r>
          </w:p>
          <w:p w14:paraId="2D247FEA" w14:textId="77777777" w:rsidR="002C6D1A" w:rsidRDefault="00B40D42">
            <w:pPr>
              <w:tabs>
                <w:tab w:val="left" w:pos="1134"/>
              </w:tabs>
              <w:spacing w:line="360" w:lineRule="auto"/>
              <w:jc w:val="both"/>
              <w:rPr>
                <w:rFonts w:eastAsia="Calibri"/>
                <w:sz w:val="22"/>
                <w:szCs w:val="22"/>
              </w:rPr>
            </w:pPr>
            <w:r>
              <w:rPr>
                <w:rFonts w:eastAsia="Calibri"/>
                <w:sz w:val="22"/>
                <w:szCs w:val="22"/>
              </w:rPr>
              <w:t xml:space="preserve">8.3.2. Agentūros sprendimu sutrumpinamas projekto veiklų vykdymo laikotarpis, jei paramos gavėjas daugiau nei 60 dienų vėluoja pateikti veiklos ataskaitą Aprašo 8.4 papunktyje nurodyta tvarka, arba paramos gavėjas nustojo vykdyti verslinę žvejybą Baltijos jūros priekrantės žvejybos zonoje, t. y. nebeturi  perleidžiamosios teisės naudoti verslinės žvejybos įrankius priekrantės žvejybai. Projekto veiklų vykdymo laikotarpis sutrumpinamas iki paskutinio Valdymo priemonių taikymo etapo, už kurį buvo pateikta tinkama veiklos ataskaita Aprašo 8.4 papunktyje nustatyta tvarka, pabaigos. </w:t>
            </w:r>
          </w:p>
          <w:p w14:paraId="6C4C0261" w14:textId="502B370B" w:rsidR="002C6D1A" w:rsidRDefault="00B40D42">
            <w:pPr>
              <w:tabs>
                <w:tab w:val="left" w:pos="1134"/>
              </w:tabs>
              <w:spacing w:line="360" w:lineRule="auto"/>
              <w:jc w:val="both"/>
              <w:rPr>
                <w:iCs/>
                <w:sz w:val="22"/>
                <w:szCs w:val="22"/>
              </w:rPr>
            </w:pPr>
            <w:r>
              <w:rPr>
                <w:iCs/>
                <w:sz w:val="22"/>
                <w:szCs w:val="22"/>
              </w:rPr>
              <w:t>8.4. Atsižvelgiant į Priemonės specifiką, veiklos ataskaitų teikimui PFAT 122–124 punktuose nustatyti terminai netaikomi. Veiklos ataskaita turi būti teikiama už Valdymo priemonių taikymo etapą, per 30 dienų nuo jo pabaigos (forma pateikiama Aprašo 3 priede). Kompensacija už konkretų Valdymo priemonių taikymo etapą negali būti išmokama, kol nepateikta veiklos ataskaita. Veiklos ataskaita, pateikta už galutinį Valdymo priemonių taikymo etapą, yra galutinė veiklos vykdymo ataskaita.</w:t>
            </w:r>
          </w:p>
        </w:tc>
      </w:tr>
      <w:tr w:rsidR="002C6D1A" w14:paraId="7BBCF9AF" w14:textId="77777777">
        <w:tc>
          <w:tcPr>
            <w:tcW w:w="14709" w:type="dxa"/>
          </w:tcPr>
          <w:p w14:paraId="2D96580F" w14:textId="77777777" w:rsidR="002C6D1A" w:rsidRDefault="00B40D42">
            <w:pPr>
              <w:jc w:val="both"/>
              <w:rPr>
                <w:b/>
                <w:sz w:val="22"/>
                <w:szCs w:val="22"/>
              </w:rPr>
            </w:pPr>
            <w:r>
              <w:rPr>
                <w:b/>
                <w:sz w:val="22"/>
                <w:szCs w:val="22"/>
              </w:rPr>
              <w:lastRenderedPageBreak/>
              <w:t>9. Paramos išmokėjimo tvarka</w:t>
            </w:r>
          </w:p>
        </w:tc>
      </w:tr>
      <w:tr w:rsidR="002C6D1A" w14:paraId="1B777645" w14:textId="77777777">
        <w:tc>
          <w:tcPr>
            <w:tcW w:w="14709" w:type="dxa"/>
          </w:tcPr>
          <w:p w14:paraId="1BC39E4B" w14:textId="77777777" w:rsidR="002C6D1A" w:rsidRDefault="00B40D42">
            <w:pPr>
              <w:spacing w:line="360" w:lineRule="auto"/>
              <w:jc w:val="both"/>
              <w:rPr>
                <w:sz w:val="22"/>
                <w:szCs w:val="22"/>
              </w:rPr>
            </w:pPr>
            <w:r>
              <w:rPr>
                <w:sz w:val="22"/>
                <w:szCs w:val="22"/>
              </w:rPr>
              <w:t xml:space="preserve">9.1. Kompensacijos pagal Aprašą skiriamos už pagal Aprašą finansuojamos  projekto veiklos vykdymą – Valdymo priemonių taikymą. </w:t>
            </w:r>
          </w:p>
          <w:p w14:paraId="3A9C767E" w14:textId="386ED249" w:rsidR="002C6D1A" w:rsidRDefault="00B40D42">
            <w:pPr>
              <w:spacing w:line="360" w:lineRule="auto"/>
              <w:jc w:val="both"/>
              <w:rPr>
                <w:sz w:val="22"/>
                <w:szCs w:val="22"/>
              </w:rPr>
            </w:pPr>
            <w:r>
              <w:rPr>
                <w:sz w:val="22"/>
                <w:szCs w:val="22"/>
              </w:rPr>
              <w:t xml:space="preserve">9.2. Mokėjimo prašymai pagal Priemonę neteikiami. Kompensacijos išmokamos už kiekvieną Valdymo priemonių taikymo etapą. Agentūra, gavusi tinkamą (parengtą ir pateiktą Aprašo 8.4 papunktyje nurodyta tvarka) veiklos ataskaitą, per 20 darbo dienų apskaičiuoja kompensacijos už Valdymo priemonių taikymo etapą dydį ir inicijuoja jo išmokėjimą PFAT nustatyta tvarka.  </w:t>
            </w:r>
          </w:p>
          <w:p w14:paraId="1D57D24A" w14:textId="0DBD7B55" w:rsidR="00A44554" w:rsidRDefault="00A44554" w:rsidP="00A44554">
            <w:pPr>
              <w:spacing w:line="360" w:lineRule="auto"/>
              <w:jc w:val="both"/>
              <w:rPr>
                <w:sz w:val="22"/>
                <w:szCs w:val="22"/>
                <w:lang w:eastAsia="lt-LT"/>
              </w:rPr>
            </w:pPr>
            <w:r>
              <w:rPr>
                <w:color w:val="000000"/>
                <w:sz w:val="22"/>
                <w:szCs w:val="22"/>
                <w:lang w:eastAsia="lt-LT"/>
              </w:rPr>
              <w:t xml:space="preserve">9.3. </w:t>
            </w:r>
            <w:r>
              <w:rPr>
                <w:sz w:val="22"/>
                <w:szCs w:val="22"/>
                <w:lang w:eastAsia="lt-LT"/>
              </w:rPr>
              <w:t>Kompensacijos dydis Aprašo 3.2 papunktyje nurodytas Valdymo priemones vykdantiems paramos gavėjams apskaičiuojamas:</w:t>
            </w:r>
          </w:p>
          <w:p w14:paraId="4D2B23F1" w14:textId="77777777" w:rsidR="00A44554" w:rsidRDefault="00A44554" w:rsidP="00A44554">
            <w:pPr>
              <w:spacing w:line="360" w:lineRule="auto"/>
              <w:jc w:val="both"/>
              <w:rPr>
                <w:rFonts w:eastAsia="Calibri"/>
                <w:sz w:val="22"/>
                <w:szCs w:val="22"/>
              </w:rPr>
            </w:pPr>
            <w:r>
              <w:rPr>
                <w:sz w:val="22"/>
                <w:szCs w:val="22"/>
                <w:lang w:eastAsia="lt-LT"/>
              </w:rPr>
              <w:t>9.3.1.</w:t>
            </w:r>
            <w:r>
              <w:rPr>
                <w:rFonts w:eastAsia="Calibri"/>
                <w:sz w:val="22"/>
                <w:szCs w:val="22"/>
              </w:rPr>
              <w:t xml:space="preserve"> už Aprašo 3.2.1 papunktyje nurodytos Valdymo priemonės vykdymą, atsižvelgiant:</w:t>
            </w:r>
          </w:p>
          <w:p w14:paraId="0B0EC433" w14:textId="77777777" w:rsidR="00A44554" w:rsidRDefault="00A44554" w:rsidP="00A44554">
            <w:pPr>
              <w:spacing w:line="360" w:lineRule="auto"/>
              <w:jc w:val="both"/>
              <w:rPr>
                <w:sz w:val="22"/>
                <w:szCs w:val="22"/>
              </w:rPr>
            </w:pPr>
            <w:r>
              <w:rPr>
                <w:rFonts w:eastAsia="Calibri"/>
                <w:sz w:val="22"/>
                <w:szCs w:val="22"/>
              </w:rPr>
              <w:t xml:space="preserve">9.3.1.1. į vidutinę laikotarpio žvejybos trukmę. </w:t>
            </w:r>
            <w:r>
              <w:rPr>
                <w:sz w:val="22"/>
                <w:szCs w:val="22"/>
              </w:rPr>
              <w:t>Vidutinė laikotarpio žvejybos trukmė skaičiuojama iš trijų laikotarpių (iš 2021-11-01–2022-03-31, 2022-11-01–2023-03-31 ir 2023-11-01–2024-03-31) duomenų, tačiau jei įmonė vienu iš laikotarpių nežvejojo, pavyzdžiui, 2021–2022 m. žvejojo 100 val., 2022–2023 m. – 200 val., 2023–2024 m. – 0 val., vidurkis apskaičiuojamas iš dviejų žvejybos laikotarpių duomenų, ir gaunama 150 val. vidutinė žvejybos laikotarpio trukmė bei taikoma 2-</w:t>
            </w:r>
            <w:r>
              <w:rPr>
                <w:sz w:val="22"/>
                <w:szCs w:val="22"/>
              </w:rPr>
              <w:lastRenderedPageBreak/>
              <w:t>osios grupės (</w:t>
            </w:r>
            <w:r>
              <w:rPr>
                <w:sz w:val="22"/>
                <w:szCs w:val="22"/>
                <w:lang w:eastAsia="lt-LT"/>
              </w:rPr>
              <w:t xml:space="preserve">nuo 39 val. iki 208 val.) </w:t>
            </w:r>
            <w:r>
              <w:rPr>
                <w:sz w:val="22"/>
                <w:szCs w:val="22"/>
              </w:rPr>
              <w:t>fiksuotoji suma FS</w:t>
            </w:r>
            <w:r>
              <w:rPr>
                <w:sz w:val="22"/>
                <w:szCs w:val="22"/>
                <w:vertAlign w:val="subscript"/>
              </w:rPr>
              <w:t>2</w:t>
            </w:r>
            <w:r>
              <w:rPr>
                <w:sz w:val="22"/>
                <w:szCs w:val="22"/>
              </w:rPr>
              <w:t xml:space="preserve"> – 569,84 Eur be PVM arba 689,51 Eur su PVM (priklausomai nuo PVM tinkamumo). Žvejybos trukmė valandomis apskaičiuojama tokiu principu: jeigu įmonė tuo pat metu, pvz., 2021-02-04 žvejojo 17 val. ir sugavo „HER – atlantinę silkę“ 70 kg bei 2021-02-04 žvejojo 17 val. ir sugavo „SME – europinę stintą“ 0 kg, valandos sumuojamos ir apskaičiuojama iš viso 17 + 17 = 34 val. Apskaičiuojama visų žvejybos žurnaluose deklaruotų žvejotų valandų suma 2021-11-01–2022-03-31 laikotarpiui iš viso. Atitinkamai, atskirai apskaičiuojama 2022–2023 m. ir 2023–2024 m. laikotarpių žvejybos trukmė lapkričio–kovo mėnesiais;</w:t>
            </w:r>
          </w:p>
          <w:p w14:paraId="66E03F2F" w14:textId="38FDBB6F" w:rsidR="002C6D1A" w:rsidRDefault="00A44554" w:rsidP="00A44554">
            <w:pPr>
              <w:spacing w:line="360" w:lineRule="auto"/>
              <w:jc w:val="both"/>
              <w:rPr>
                <w:sz w:val="22"/>
                <w:szCs w:val="22"/>
                <w:lang w:eastAsia="lt-LT"/>
              </w:rPr>
            </w:pPr>
            <w:r>
              <w:rPr>
                <w:sz w:val="22"/>
                <w:szCs w:val="22"/>
                <w:lang w:eastAsia="lt-LT"/>
              </w:rPr>
              <w:t>9.3.1.2. į tai, į kurios grupės valandų intervalą apskaičiuota vidutinė laikotarpio žvejybos trukmė patenka, ir taikoma atitinkama 1– 6 grupės nustatyta laikino žvejybos ribojimo laikotarpio fiksuotoji suma: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0"/>
              <w:gridCol w:w="6382"/>
              <w:gridCol w:w="5531"/>
            </w:tblGrid>
            <w:tr w:rsidR="00A44554" w14:paraId="50A1DB88" w14:textId="77777777" w:rsidTr="004444CB">
              <w:trPr>
                <w:trHeight w:val="411"/>
              </w:trPr>
              <w:tc>
                <w:tcPr>
                  <w:tcW w:w="887" w:type="pct"/>
                  <w:vAlign w:val="center"/>
                </w:tcPr>
                <w:p w14:paraId="623979EE" w14:textId="77777777" w:rsidR="00A44554" w:rsidRDefault="00A44554" w:rsidP="00A44554">
                  <w:pPr>
                    <w:rPr>
                      <w:sz w:val="22"/>
                      <w:szCs w:val="22"/>
                    </w:rPr>
                  </w:pPr>
                </w:p>
                <w:p w14:paraId="520781EA" w14:textId="77777777" w:rsidR="00A44554" w:rsidRDefault="00A44554" w:rsidP="00A44554">
                  <w:pPr>
                    <w:jc w:val="center"/>
                    <w:rPr>
                      <w:sz w:val="22"/>
                      <w:szCs w:val="22"/>
                      <w:lang w:eastAsia="lt-LT"/>
                    </w:rPr>
                  </w:pPr>
                  <w:r>
                    <w:rPr>
                      <w:rFonts w:eastAsia="Calibri"/>
                      <w:sz w:val="22"/>
                      <w:szCs w:val="22"/>
                    </w:rPr>
                    <w:t>Fiksuotojo dydžio Nr.</w:t>
                  </w:r>
                </w:p>
              </w:tc>
              <w:tc>
                <w:tcPr>
                  <w:tcW w:w="2203" w:type="pct"/>
                  <w:vAlign w:val="center"/>
                </w:tcPr>
                <w:p w14:paraId="050FE1C7" w14:textId="77777777" w:rsidR="00A44554" w:rsidRDefault="00A44554" w:rsidP="00A44554">
                  <w:pPr>
                    <w:rPr>
                      <w:sz w:val="22"/>
                      <w:szCs w:val="22"/>
                    </w:rPr>
                  </w:pPr>
                </w:p>
                <w:p w14:paraId="4D5534C2" w14:textId="77777777" w:rsidR="00A44554" w:rsidRDefault="00A44554" w:rsidP="00A44554">
                  <w:pPr>
                    <w:jc w:val="center"/>
                    <w:rPr>
                      <w:sz w:val="22"/>
                      <w:szCs w:val="22"/>
                      <w:lang w:eastAsia="lt-LT"/>
                    </w:rPr>
                  </w:pPr>
                  <w:r>
                    <w:rPr>
                      <w:sz w:val="22"/>
                      <w:szCs w:val="22"/>
                      <w:lang w:eastAsia="lt-LT"/>
                    </w:rPr>
                    <w:t>Laikino žvejybos ribojimo laikotarpio fiksuotoji suma pateikiama</w:t>
                  </w:r>
                </w:p>
              </w:tc>
              <w:tc>
                <w:tcPr>
                  <w:tcW w:w="1909" w:type="pct"/>
                  <w:vAlign w:val="center"/>
                </w:tcPr>
                <w:p w14:paraId="58D5C96C" w14:textId="77777777" w:rsidR="00A44554" w:rsidRDefault="00A44554" w:rsidP="00A44554">
                  <w:pPr>
                    <w:rPr>
                      <w:sz w:val="22"/>
                      <w:szCs w:val="22"/>
                    </w:rPr>
                  </w:pPr>
                </w:p>
                <w:p w14:paraId="1C9D1100" w14:textId="77777777" w:rsidR="00A44554" w:rsidRDefault="00A44554" w:rsidP="00A44554">
                  <w:pPr>
                    <w:jc w:val="center"/>
                    <w:rPr>
                      <w:sz w:val="22"/>
                      <w:szCs w:val="22"/>
                      <w:lang w:eastAsia="lt-LT"/>
                    </w:rPr>
                  </w:pPr>
                  <w:r>
                    <w:rPr>
                      <w:sz w:val="22"/>
                      <w:szCs w:val="22"/>
                      <w:lang w:eastAsia="lt-LT"/>
                    </w:rPr>
                    <w:t>Taikoma</w:t>
                  </w:r>
                  <w:r>
                    <w:rPr>
                      <w:rFonts w:eastAsia="Calibri"/>
                      <w:sz w:val="22"/>
                      <w:szCs w:val="22"/>
                    </w:rPr>
                    <w:t>, jei vidutinė laikotarpio žvejybos trukmė (imtinai):</w:t>
                  </w:r>
                </w:p>
              </w:tc>
            </w:tr>
            <w:tr w:rsidR="00A44554" w14:paraId="1C9901D2" w14:textId="77777777" w:rsidTr="004444CB">
              <w:trPr>
                <w:trHeight w:val="213"/>
              </w:trPr>
              <w:tc>
                <w:tcPr>
                  <w:tcW w:w="887" w:type="pct"/>
                </w:tcPr>
                <w:p w14:paraId="6C6FC286" w14:textId="77777777" w:rsidR="00A44554" w:rsidRDefault="00A44554" w:rsidP="00A44554">
                  <w:pPr>
                    <w:jc w:val="center"/>
                    <w:rPr>
                      <w:sz w:val="22"/>
                      <w:szCs w:val="22"/>
                      <w:lang w:eastAsia="lt-LT"/>
                    </w:rPr>
                  </w:pPr>
                  <w:r>
                    <w:rPr>
                      <w:sz w:val="22"/>
                      <w:szCs w:val="22"/>
                      <w:lang w:eastAsia="lt-LT"/>
                    </w:rPr>
                    <w:t>1</w:t>
                  </w:r>
                </w:p>
              </w:tc>
              <w:tc>
                <w:tcPr>
                  <w:tcW w:w="2203" w:type="pct"/>
                  <w:vAlign w:val="center"/>
                </w:tcPr>
                <w:p w14:paraId="168691E2" w14:textId="77777777" w:rsidR="00A44554" w:rsidRDefault="00A44554" w:rsidP="00A44554">
                  <w:pPr>
                    <w:jc w:val="center"/>
                    <w:rPr>
                      <w:sz w:val="22"/>
                      <w:szCs w:val="22"/>
                      <w:lang w:eastAsia="lt-LT"/>
                    </w:rPr>
                  </w:pPr>
                  <w:r>
                    <w:rPr>
                      <w:sz w:val="22"/>
                      <w:szCs w:val="22"/>
                      <w:lang w:eastAsia="lt-LT"/>
                    </w:rPr>
                    <w:t>2</w:t>
                  </w:r>
                </w:p>
              </w:tc>
              <w:tc>
                <w:tcPr>
                  <w:tcW w:w="1909" w:type="pct"/>
                </w:tcPr>
                <w:p w14:paraId="439740AD" w14:textId="77777777" w:rsidR="00A44554" w:rsidRDefault="00A44554" w:rsidP="00A44554">
                  <w:pPr>
                    <w:jc w:val="center"/>
                    <w:rPr>
                      <w:sz w:val="22"/>
                      <w:szCs w:val="22"/>
                      <w:lang w:eastAsia="lt-LT"/>
                    </w:rPr>
                  </w:pPr>
                  <w:r>
                    <w:rPr>
                      <w:sz w:val="22"/>
                      <w:szCs w:val="22"/>
                      <w:lang w:eastAsia="lt-LT"/>
                    </w:rPr>
                    <w:t>3</w:t>
                  </w:r>
                </w:p>
              </w:tc>
            </w:tr>
            <w:tr w:rsidR="00A44554" w14:paraId="0A1CE567" w14:textId="77777777" w:rsidTr="004444CB">
              <w:trPr>
                <w:trHeight w:val="227"/>
              </w:trPr>
              <w:tc>
                <w:tcPr>
                  <w:tcW w:w="887" w:type="pct"/>
                </w:tcPr>
                <w:p w14:paraId="34E78804" w14:textId="77777777" w:rsidR="00A44554" w:rsidRDefault="00A44554" w:rsidP="00A44554">
                  <w:pPr>
                    <w:jc w:val="center"/>
                    <w:rPr>
                      <w:sz w:val="22"/>
                      <w:szCs w:val="22"/>
                      <w:lang w:eastAsia="lt-LT"/>
                    </w:rPr>
                  </w:pPr>
                  <w:r>
                    <w:rPr>
                      <w:sz w:val="22"/>
                      <w:szCs w:val="22"/>
                      <w:lang w:eastAsia="lt-LT"/>
                    </w:rPr>
                    <w:t>FS</w:t>
                  </w:r>
                  <w:r>
                    <w:rPr>
                      <w:sz w:val="22"/>
                      <w:szCs w:val="22"/>
                      <w:vertAlign w:val="subscript"/>
                      <w:lang w:eastAsia="lt-LT"/>
                    </w:rPr>
                    <w:t>1</w:t>
                  </w:r>
                </w:p>
              </w:tc>
              <w:tc>
                <w:tcPr>
                  <w:tcW w:w="2203" w:type="pct"/>
                  <w:vAlign w:val="center"/>
                </w:tcPr>
                <w:p w14:paraId="3159DA2B" w14:textId="77777777" w:rsidR="00A44554" w:rsidRDefault="00A44554" w:rsidP="00A44554">
                  <w:pPr>
                    <w:jc w:val="center"/>
                    <w:rPr>
                      <w:sz w:val="22"/>
                      <w:szCs w:val="22"/>
                      <w:lang w:eastAsia="lt-LT"/>
                    </w:rPr>
                  </w:pPr>
                  <w:r>
                    <w:rPr>
                      <w:color w:val="000000"/>
                      <w:sz w:val="22"/>
                      <w:szCs w:val="22"/>
                      <w:lang w:eastAsia="lt-LT"/>
                    </w:rPr>
                    <w:t>Aprašo 10.3–10.4 papunkčiuose</w:t>
                  </w:r>
                </w:p>
              </w:tc>
              <w:tc>
                <w:tcPr>
                  <w:tcW w:w="1909" w:type="pct"/>
                  <w:vAlign w:val="bottom"/>
                </w:tcPr>
                <w:p w14:paraId="5F137FDB" w14:textId="77777777" w:rsidR="00A44554" w:rsidRDefault="00A44554" w:rsidP="00A44554">
                  <w:pPr>
                    <w:jc w:val="center"/>
                    <w:rPr>
                      <w:sz w:val="22"/>
                      <w:szCs w:val="22"/>
                      <w:lang w:eastAsia="lt-LT"/>
                    </w:rPr>
                  </w:pPr>
                  <w:r>
                    <w:rPr>
                      <w:sz w:val="22"/>
                      <w:szCs w:val="22"/>
                      <w:lang w:eastAsia="lt-LT"/>
                    </w:rPr>
                    <w:t>iki 38 val.</w:t>
                  </w:r>
                </w:p>
              </w:tc>
            </w:tr>
            <w:tr w:rsidR="00A44554" w14:paraId="7B862040" w14:textId="77777777" w:rsidTr="004444CB">
              <w:trPr>
                <w:trHeight w:val="227"/>
              </w:trPr>
              <w:tc>
                <w:tcPr>
                  <w:tcW w:w="887" w:type="pct"/>
                </w:tcPr>
                <w:p w14:paraId="11996907" w14:textId="77777777" w:rsidR="00A44554" w:rsidRDefault="00A44554" w:rsidP="00A44554">
                  <w:pPr>
                    <w:jc w:val="center"/>
                    <w:rPr>
                      <w:sz w:val="22"/>
                      <w:szCs w:val="22"/>
                      <w:lang w:eastAsia="lt-LT"/>
                    </w:rPr>
                  </w:pPr>
                  <w:r>
                    <w:rPr>
                      <w:sz w:val="22"/>
                      <w:szCs w:val="22"/>
                      <w:lang w:eastAsia="lt-LT"/>
                    </w:rPr>
                    <w:t>FS</w:t>
                  </w:r>
                  <w:r>
                    <w:rPr>
                      <w:sz w:val="22"/>
                      <w:szCs w:val="22"/>
                      <w:vertAlign w:val="subscript"/>
                      <w:lang w:eastAsia="lt-LT"/>
                    </w:rPr>
                    <w:t>2</w:t>
                  </w:r>
                </w:p>
              </w:tc>
              <w:tc>
                <w:tcPr>
                  <w:tcW w:w="2203" w:type="pct"/>
                  <w:vAlign w:val="center"/>
                </w:tcPr>
                <w:p w14:paraId="455EE565" w14:textId="77777777" w:rsidR="00A44554" w:rsidRDefault="00A44554" w:rsidP="00A44554">
                  <w:pPr>
                    <w:jc w:val="center"/>
                    <w:rPr>
                      <w:sz w:val="22"/>
                      <w:szCs w:val="22"/>
                      <w:lang w:eastAsia="lt-LT"/>
                    </w:rPr>
                  </w:pPr>
                  <w:r>
                    <w:rPr>
                      <w:color w:val="000000"/>
                      <w:sz w:val="22"/>
                      <w:szCs w:val="22"/>
                      <w:lang w:eastAsia="lt-LT"/>
                    </w:rPr>
                    <w:t>Aprašo 10.5–10.6 papunkčiuose</w:t>
                  </w:r>
                </w:p>
              </w:tc>
              <w:tc>
                <w:tcPr>
                  <w:tcW w:w="1909" w:type="pct"/>
                  <w:vAlign w:val="bottom"/>
                </w:tcPr>
                <w:p w14:paraId="649321D7" w14:textId="77777777" w:rsidR="00A44554" w:rsidRDefault="00A44554" w:rsidP="00A44554">
                  <w:pPr>
                    <w:jc w:val="center"/>
                    <w:rPr>
                      <w:sz w:val="22"/>
                      <w:szCs w:val="22"/>
                      <w:lang w:eastAsia="lt-LT"/>
                    </w:rPr>
                  </w:pPr>
                  <w:r>
                    <w:rPr>
                      <w:sz w:val="22"/>
                      <w:szCs w:val="22"/>
                      <w:lang w:eastAsia="lt-LT"/>
                    </w:rPr>
                    <w:t>nuo 39 val. iki 208 val.</w:t>
                  </w:r>
                </w:p>
              </w:tc>
            </w:tr>
            <w:tr w:rsidR="00A44554" w14:paraId="5972A065" w14:textId="77777777" w:rsidTr="004444CB">
              <w:trPr>
                <w:trHeight w:val="227"/>
              </w:trPr>
              <w:tc>
                <w:tcPr>
                  <w:tcW w:w="887" w:type="pct"/>
                </w:tcPr>
                <w:p w14:paraId="63902DB6" w14:textId="77777777" w:rsidR="00A44554" w:rsidRDefault="00A44554" w:rsidP="00A44554">
                  <w:pPr>
                    <w:jc w:val="center"/>
                    <w:rPr>
                      <w:sz w:val="22"/>
                      <w:szCs w:val="22"/>
                      <w:lang w:eastAsia="lt-LT"/>
                    </w:rPr>
                  </w:pPr>
                  <w:r>
                    <w:rPr>
                      <w:sz w:val="22"/>
                      <w:szCs w:val="22"/>
                      <w:lang w:eastAsia="lt-LT"/>
                    </w:rPr>
                    <w:t>FS</w:t>
                  </w:r>
                  <w:r>
                    <w:rPr>
                      <w:sz w:val="22"/>
                      <w:szCs w:val="22"/>
                      <w:vertAlign w:val="subscript"/>
                      <w:lang w:eastAsia="lt-LT"/>
                    </w:rPr>
                    <w:t>3</w:t>
                  </w:r>
                </w:p>
              </w:tc>
              <w:tc>
                <w:tcPr>
                  <w:tcW w:w="2203" w:type="pct"/>
                </w:tcPr>
                <w:p w14:paraId="2D367FB4" w14:textId="77777777" w:rsidR="00A44554" w:rsidRDefault="00A44554" w:rsidP="00A44554">
                  <w:pPr>
                    <w:jc w:val="center"/>
                    <w:rPr>
                      <w:sz w:val="22"/>
                      <w:szCs w:val="22"/>
                      <w:lang w:eastAsia="lt-LT"/>
                    </w:rPr>
                  </w:pPr>
                  <w:r>
                    <w:rPr>
                      <w:color w:val="000000"/>
                      <w:sz w:val="22"/>
                      <w:szCs w:val="22"/>
                      <w:lang w:eastAsia="lt-LT"/>
                    </w:rPr>
                    <w:t>Aprašo 10.7–10.8 papunkčiuose</w:t>
                  </w:r>
                </w:p>
              </w:tc>
              <w:tc>
                <w:tcPr>
                  <w:tcW w:w="1909" w:type="pct"/>
                  <w:vAlign w:val="bottom"/>
                </w:tcPr>
                <w:p w14:paraId="1ECDD50A" w14:textId="77777777" w:rsidR="00A44554" w:rsidRDefault="00A44554" w:rsidP="00A44554">
                  <w:pPr>
                    <w:jc w:val="center"/>
                    <w:rPr>
                      <w:sz w:val="22"/>
                      <w:szCs w:val="22"/>
                      <w:lang w:eastAsia="lt-LT"/>
                    </w:rPr>
                  </w:pPr>
                  <w:r>
                    <w:rPr>
                      <w:sz w:val="22"/>
                      <w:szCs w:val="22"/>
                      <w:lang w:eastAsia="lt-LT"/>
                    </w:rPr>
                    <w:t>nuo 209 val. iki 455 val.</w:t>
                  </w:r>
                </w:p>
              </w:tc>
            </w:tr>
            <w:tr w:rsidR="00A44554" w14:paraId="31007613" w14:textId="77777777" w:rsidTr="004444CB">
              <w:trPr>
                <w:trHeight w:val="54"/>
              </w:trPr>
              <w:tc>
                <w:tcPr>
                  <w:tcW w:w="887" w:type="pct"/>
                </w:tcPr>
                <w:p w14:paraId="1D8032A3" w14:textId="77777777" w:rsidR="00A44554" w:rsidRDefault="00A44554" w:rsidP="00A44554">
                  <w:pPr>
                    <w:jc w:val="center"/>
                    <w:rPr>
                      <w:sz w:val="22"/>
                      <w:szCs w:val="22"/>
                      <w:lang w:eastAsia="lt-LT"/>
                    </w:rPr>
                  </w:pPr>
                  <w:r>
                    <w:rPr>
                      <w:sz w:val="22"/>
                      <w:szCs w:val="22"/>
                      <w:lang w:eastAsia="lt-LT"/>
                    </w:rPr>
                    <w:t>FS</w:t>
                  </w:r>
                  <w:r>
                    <w:rPr>
                      <w:sz w:val="22"/>
                      <w:szCs w:val="22"/>
                      <w:vertAlign w:val="subscript"/>
                      <w:lang w:eastAsia="lt-LT"/>
                    </w:rPr>
                    <w:t>4</w:t>
                  </w:r>
                </w:p>
              </w:tc>
              <w:tc>
                <w:tcPr>
                  <w:tcW w:w="2203" w:type="pct"/>
                </w:tcPr>
                <w:p w14:paraId="5A2358ED" w14:textId="77777777" w:rsidR="00A44554" w:rsidRDefault="00A44554" w:rsidP="00A44554">
                  <w:pPr>
                    <w:jc w:val="center"/>
                    <w:rPr>
                      <w:sz w:val="22"/>
                      <w:szCs w:val="22"/>
                      <w:lang w:eastAsia="lt-LT"/>
                    </w:rPr>
                  </w:pPr>
                  <w:r>
                    <w:rPr>
                      <w:color w:val="000000"/>
                      <w:sz w:val="22"/>
                      <w:szCs w:val="22"/>
                      <w:lang w:eastAsia="lt-LT"/>
                    </w:rPr>
                    <w:t>Aprašo 10.9–10.10 papunkčiuose</w:t>
                  </w:r>
                </w:p>
              </w:tc>
              <w:tc>
                <w:tcPr>
                  <w:tcW w:w="1909" w:type="pct"/>
                  <w:vAlign w:val="bottom"/>
                </w:tcPr>
                <w:p w14:paraId="19176167" w14:textId="77777777" w:rsidR="00A44554" w:rsidRDefault="00A44554" w:rsidP="00A44554">
                  <w:pPr>
                    <w:jc w:val="center"/>
                    <w:rPr>
                      <w:sz w:val="22"/>
                      <w:szCs w:val="22"/>
                      <w:lang w:eastAsia="lt-LT"/>
                    </w:rPr>
                  </w:pPr>
                  <w:r>
                    <w:rPr>
                      <w:sz w:val="22"/>
                      <w:szCs w:val="22"/>
                      <w:lang w:eastAsia="lt-LT"/>
                    </w:rPr>
                    <w:t>nuo 456 val. iki 914 val.</w:t>
                  </w:r>
                </w:p>
              </w:tc>
            </w:tr>
            <w:tr w:rsidR="00A44554" w14:paraId="5953A0BF" w14:textId="77777777" w:rsidTr="004444CB">
              <w:trPr>
                <w:trHeight w:val="227"/>
              </w:trPr>
              <w:tc>
                <w:tcPr>
                  <w:tcW w:w="887" w:type="pct"/>
                </w:tcPr>
                <w:p w14:paraId="79BE7F94" w14:textId="77777777" w:rsidR="00A44554" w:rsidRDefault="00A44554" w:rsidP="00A44554">
                  <w:pPr>
                    <w:jc w:val="center"/>
                    <w:rPr>
                      <w:sz w:val="22"/>
                      <w:szCs w:val="22"/>
                      <w:lang w:eastAsia="lt-LT"/>
                    </w:rPr>
                  </w:pPr>
                  <w:r>
                    <w:rPr>
                      <w:sz w:val="22"/>
                      <w:szCs w:val="22"/>
                      <w:lang w:eastAsia="lt-LT"/>
                    </w:rPr>
                    <w:t>FS</w:t>
                  </w:r>
                  <w:r>
                    <w:rPr>
                      <w:sz w:val="22"/>
                      <w:szCs w:val="22"/>
                      <w:vertAlign w:val="subscript"/>
                      <w:lang w:eastAsia="lt-LT"/>
                    </w:rPr>
                    <w:t>5</w:t>
                  </w:r>
                </w:p>
              </w:tc>
              <w:tc>
                <w:tcPr>
                  <w:tcW w:w="2203" w:type="pct"/>
                  <w:vAlign w:val="center"/>
                </w:tcPr>
                <w:p w14:paraId="1C315850" w14:textId="77777777" w:rsidR="00A44554" w:rsidRDefault="00A44554" w:rsidP="00A44554">
                  <w:pPr>
                    <w:jc w:val="center"/>
                    <w:rPr>
                      <w:sz w:val="22"/>
                      <w:szCs w:val="22"/>
                      <w:lang w:eastAsia="lt-LT"/>
                    </w:rPr>
                  </w:pPr>
                  <w:r>
                    <w:rPr>
                      <w:color w:val="000000"/>
                      <w:sz w:val="22"/>
                      <w:szCs w:val="22"/>
                      <w:lang w:eastAsia="lt-LT"/>
                    </w:rPr>
                    <w:t>Aprašo 10.11–10.12 papunkčiuose</w:t>
                  </w:r>
                </w:p>
              </w:tc>
              <w:tc>
                <w:tcPr>
                  <w:tcW w:w="1909" w:type="pct"/>
                  <w:vAlign w:val="bottom"/>
                </w:tcPr>
                <w:p w14:paraId="2C15BF2B" w14:textId="77777777" w:rsidR="00A44554" w:rsidRDefault="00A44554" w:rsidP="00A44554">
                  <w:pPr>
                    <w:jc w:val="center"/>
                    <w:rPr>
                      <w:sz w:val="22"/>
                      <w:szCs w:val="22"/>
                      <w:lang w:eastAsia="lt-LT"/>
                    </w:rPr>
                  </w:pPr>
                  <w:r>
                    <w:rPr>
                      <w:sz w:val="22"/>
                      <w:szCs w:val="22"/>
                      <w:lang w:eastAsia="lt-LT"/>
                    </w:rPr>
                    <w:t>nuo 915 val. iki 1759 val.</w:t>
                  </w:r>
                </w:p>
              </w:tc>
            </w:tr>
            <w:tr w:rsidR="00A44554" w14:paraId="15A30240" w14:textId="77777777" w:rsidTr="004444CB">
              <w:trPr>
                <w:trHeight w:val="227"/>
              </w:trPr>
              <w:tc>
                <w:tcPr>
                  <w:tcW w:w="887" w:type="pct"/>
                </w:tcPr>
                <w:p w14:paraId="784AAE34" w14:textId="77777777" w:rsidR="00A44554" w:rsidRDefault="00A44554" w:rsidP="00A44554">
                  <w:pPr>
                    <w:jc w:val="center"/>
                    <w:rPr>
                      <w:sz w:val="22"/>
                      <w:szCs w:val="22"/>
                      <w:lang w:eastAsia="lt-LT"/>
                    </w:rPr>
                  </w:pPr>
                  <w:r>
                    <w:rPr>
                      <w:sz w:val="22"/>
                      <w:szCs w:val="22"/>
                      <w:lang w:eastAsia="lt-LT"/>
                    </w:rPr>
                    <w:t>FS</w:t>
                  </w:r>
                  <w:r>
                    <w:rPr>
                      <w:sz w:val="22"/>
                      <w:szCs w:val="22"/>
                      <w:vertAlign w:val="subscript"/>
                      <w:lang w:eastAsia="lt-LT"/>
                    </w:rPr>
                    <w:t>6</w:t>
                  </w:r>
                </w:p>
              </w:tc>
              <w:tc>
                <w:tcPr>
                  <w:tcW w:w="2203" w:type="pct"/>
                </w:tcPr>
                <w:p w14:paraId="6409F387" w14:textId="77777777" w:rsidR="00A44554" w:rsidRDefault="00A44554" w:rsidP="00A44554">
                  <w:pPr>
                    <w:jc w:val="center"/>
                    <w:rPr>
                      <w:sz w:val="22"/>
                      <w:szCs w:val="22"/>
                      <w:lang w:eastAsia="lt-LT"/>
                    </w:rPr>
                  </w:pPr>
                  <w:r>
                    <w:rPr>
                      <w:color w:val="000000"/>
                      <w:sz w:val="22"/>
                      <w:szCs w:val="22"/>
                      <w:lang w:eastAsia="lt-LT"/>
                    </w:rPr>
                    <w:t>Aprašo 10.13–10.14 papunkčiuose</w:t>
                  </w:r>
                </w:p>
              </w:tc>
              <w:tc>
                <w:tcPr>
                  <w:tcW w:w="1909" w:type="pct"/>
                  <w:vAlign w:val="bottom"/>
                </w:tcPr>
                <w:p w14:paraId="6CD07EF2" w14:textId="77777777" w:rsidR="00A44554" w:rsidRDefault="00A44554" w:rsidP="00A44554">
                  <w:pPr>
                    <w:jc w:val="center"/>
                    <w:rPr>
                      <w:sz w:val="22"/>
                      <w:szCs w:val="22"/>
                      <w:lang w:eastAsia="lt-LT"/>
                    </w:rPr>
                  </w:pPr>
                  <w:r>
                    <w:rPr>
                      <w:sz w:val="22"/>
                      <w:szCs w:val="22"/>
                      <w:lang w:eastAsia="lt-LT"/>
                    </w:rPr>
                    <w:t>1760 val. ir daugiau</w:t>
                  </w:r>
                </w:p>
              </w:tc>
            </w:tr>
          </w:tbl>
          <w:p w14:paraId="790C50EF" w14:textId="11368F34" w:rsidR="00A44554" w:rsidRDefault="00A44554" w:rsidP="00A44554">
            <w:pPr>
              <w:spacing w:line="360" w:lineRule="auto"/>
              <w:jc w:val="both"/>
              <w:rPr>
                <w:sz w:val="22"/>
                <w:szCs w:val="22"/>
                <w:lang w:eastAsia="lt-LT"/>
              </w:rPr>
            </w:pPr>
          </w:p>
          <w:p w14:paraId="097B35F5" w14:textId="77777777" w:rsidR="00A44554" w:rsidRDefault="00A44554" w:rsidP="00A44554">
            <w:pPr>
              <w:spacing w:line="360" w:lineRule="auto"/>
              <w:jc w:val="both"/>
              <w:rPr>
                <w:sz w:val="22"/>
                <w:szCs w:val="22"/>
                <w:lang w:eastAsia="lt-LT"/>
              </w:rPr>
            </w:pPr>
            <w:r>
              <w:rPr>
                <w:sz w:val="22"/>
                <w:szCs w:val="22"/>
                <w:lang w:eastAsia="lt-LT"/>
              </w:rPr>
              <w:t>9.3.2.</w:t>
            </w:r>
            <w:r>
              <w:rPr>
                <w:sz w:val="22"/>
                <w:szCs w:val="22"/>
              </w:rPr>
              <w:t xml:space="preserve"> </w:t>
            </w:r>
            <w:r>
              <w:rPr>
                <w:sz w:val="22"/>
                <w:szCs w:val="22"/>
                <w:lang w:eastAsia="lt-LT"/>
              </w:rPr>
              <w:t>už žvejybos metu faktinį Aprašo 3.2.2 papunktyje nurodytos Valdymo priemonės vykdymą, fiksuotąjį vieneto įkainį, nurodytą Aprašo 10.15 papunktyje, dauginant iš žvejybos naktų skaičiaus;</w:t>
            </w:r>
          </w:p>
          <w:p w14:paraId="56D19CF1" w14:textId="77777777" w:rsidR="00A44554" w:rsidRDefault="00A44554" w:rsidP="00A44554">
            <w:pPr>
              <w:spacing w:line="360" w:lineRule="auto"/>
              <w:jc w:val="both"/>
              <w:rPr>
                <w:sz w:val="22"/>
                <w:szCs w:val="22"/>
                <w:lang w:eastAsia="lt-LT"/>
              </w:rPr>
            </w:pPr>
            <w:r>
              <w:rPr>
                <w:sz w:val="22"/>
                <w:szCs w:val="22"/>
                <w:lang w:eastAsia="lt-LT"/>
              </w:rPr>
              <w:t xml:space="preserve">9.3.3. už žvejybos metu faktinį Aprašo 3.2.3 papunktyje nurodytos Valdymo priemonės vykdymą, fiksuotąjį vieneto įkainį, nurodytą Aprašo 10.16 arba 10.17 papunktyje, dauginant iš unikalių žvejybos valandų skaičiaus; </w:t>
            </w:r>
          </w:p>
          <w:p w14:paraId="427EB872" w14:textId="77777777" w:rsidR="00A44554" w:rsidRDefault="00A44554" w:rsidP="00A44554">
            <w:pPr>
              <w:spacing w:line="360" w:lineRule="auto"/>
              <w:jc w:val="both"/>
              <w:rPr>
                <w:rFonts w:eastAsia="Calibri"/>
                <w:sz w:val="22"/>
                <w:szCs w:val="22"/>
              </w:rPr>
            </w:pPr>
            <w:r>
              <w:rPr>
                <w:sz w:val="22"/>
                <w:szCs w:val="22"/>
                <w:lang w:eastAsia="lt-LT"/>
              </w:rPr>
              <w:t xml:space="preserve">9.3.4. </w:t>
            </w:r>
            <w:r>
              <w:rPr>
                <w:rFonts w:eastAsia="Calibri"/>
                <w:sz w:val="22"/>
                <w:szCs w:val="22"/>
              </w:rPr>
              <w:t>už Aprašo 3.2.4 papunktyje nurodytos Valdymo priemonės vykdymą,</w:t>
            </w:r>
            <w:r>
              <w:rPr>
                <w:sz w:val="22"/>
                <w:szCs w:val="22"/>
              </w:rPr>
              <w:t xml:space="preserve"> </w:t>
            </w:r>
            <w:r>
              <w:rPr>
                <w:rFonts w:eastAsia="Calibri"/>
                <w:sz w:val="22"/>
                <w:szCs w:val="22"/>
              </w:rPr>
              <w:t>fiksuotąjį vieneto įkainį, nurodytą Aprašo 10.18 arba 10.19 papunktyje, dauginant iš unikalių žvejybos valandų skaičiaus;</w:t>
            </w:r>
          </w:p>
          <w:p w14:paraId="752078A2" w14:textId="144A3C6E" w:rsidR="00A44554" w:rsidRDefault="00A44554" w:rsidP="00A44554">
            <w:pPr>
              <w:spacing w:line="360" w:lineRule="auto"/>
              <w:jc w:val="both"/>
              <w:rPr>
                <w:sz w:val="22"/>
                <w:szCs w:val="22"/>
                <w:lang w:eastAsia="lt-LT"/>
              </w:rPr>
            </w:pPr>
            <w:r>
              <w:rPr>
                <w:sz w:val="22"/>
                <w:szCs w:val="22"/>
                <w:lang w:eastAsia="lt-LT"/>
              </w:rPr>
              <w:t>9.3.5.</w:t>
            </w:r>
            <w:r>
              <w:rPr>
                <w:rFonts w:eastAsia="Calibri"/>
                <w:sz w:val="22"/>
                <w:szCs w:val="22"/>
              </w:rPr>
              <w:t xml:space="preserve"> už Aprašo 3.2.5 papunktyje nurodytos Valdymo priemonės vykdymą,</w:t>
            </w:r>
            <w:r>
              <w:rPr>
                <w:sz w:val="22"/>
                <w:szCs w:val="22"/>
              </w:rPr>
              <w:t xml:space="preserve"> </w:t>
            </w:r>
            <w:r>
              <w:rPr>
                <w:rFonts w:eastAsia="Calibri"/>
                <w:sz w:val="22"/>
                <w:szCs w:val="22"/>
              </w:rPr>
              <w:t>fiksuotąjį vieneto įkainį, nurodytą Aprašo 10.20 arba 10.21 papunktyje, dauginant iš unikalių žvejybos valandų skaičiaus.</w:t>
            </w:r>
          </w:p>
          <w:p w14:paraId="6F0911E7" w14:textId="77777777" w:rsidR="002C6D1A" w:rsidRDefault="00B40D42">
            <w:pPr>
              <w:spacing w:line="360" w:lineRule="auto"/>
              <w:jc w:val="both"/>
              <w:rPr>
                <w:sz w:val="22"/>
                <w:szCs w:val="22"/>
              </w:rPr>
            </w:pPr>
            <w:r>
              <w:rPr>
                <w:sz w:val="22"/>
                <w:szCs w:val="22"/>
                <w:lang w:eastAsia="lt-LT"/>
              </w:rPr>
              <w:lastRenderedPageBreak/>
              <w:t xml:space="preserve">9.4. Skiriamos kompensacijos dydis apskaičiuojamas už kiekvieną Valdymo priemonių taikymo etapą, vadovaujantis </w:t>
            </w:r>
            <w:r>
              <w:rPr>
                <w:sz w:val="22"/>
                <w:szCs w:val="22"/>
              </w:rPr>
              <w:t xml:space="preserve">Žuvininkystės tarnybos prie Lietuvos Respublikos žemės ūkio ministerijos (toliau – Tarnyba) duomenimis. Paramos gavėjai patys atsako už tinkamą (teisės aktų nustatyta tvarka) Lietuvos Respublikos žvejybos laivų žvejybos žurnalų pildymą ir teikimą Tarnybai. Skiriamos kompensacijos dydis gali keistis ir po jos išmokėjimo, jei yra patikslinami atitinkami Tarnybos duomenys. </w:t>
            </w:r>
          </w:p>
          <w:p w14:paraId="4A00CAF8" w14:textId="77777777" w:rsidR="002C6D1A" w:rsidRDefault="00B40D42">
            <w:pPr>
              <w:spacing w:line="360" w:lineRule="auto"/>
              <w:jc w:val="both"/>
              <w:rPr>
                <w:color w:val="000000"/>
                <w:sz w:val="22"/>
                <w:szCs w:val="22"/>
                <w:lang w:eastAsia="lt-LT"/>
              </w:rPr>
            </w:pPr>
            <w:r>
              <w:rPr>
                <w:sz w:val="22"/>
                <w:szCs w:val="22"/>
                <w:lang w:eastAsia="lt-LT"/>
              </w:rPr>
              <w:t>9.5. matomumo ir informavimo apie projektą išlaidos</w:t>
            </w:r>
            <w:r>
              <w:t xml:space="preserve"> </w:t>
            </w:r>
            <w:r>
              <w:rPr>
                <w:sz w:val="22"/>
                <w:szCs w:val="22"/>
                <w:lang w:eastAsia="lt-LT"/>
              </w:rPr>
              <w:t>apskaičiuojamos taikant fiksuotąjį įkainį, nustatytą Aprašo 10.1–10.2 papunkčiuose. Viešinimo tvarka nustatyta Komunikacijos nuostatuose (PFAT 6 priedas). Šios išlaidos apmokamos kartą per projekto veiklos vykdymo laikotarpį, kai su veiklos ataskaita pateikiami įrodymai apie privalomų matomumo ir informavimo priemonių įgyvendinimą.</w:t>
            </w:r>
          </w:p>
        </w:tc>
      </w:tr>
      <w:tr w:rsidR="002C6D1A" w14:paraId="2D1C34B1" w14:textId="77777777">
        <w:trPr>
          <w:trHeight w:val="349"/>
        </w:trPr>
        <w:tc>
          <w:tcPr>
            <w:tcW w:w="14709" w:type="dxa"/>
            <w:tcBorders>
              <w:bottom w:val="single" w:sz="4" w:space="0" w:color="auto"/>
            </w:tcBorders>
          </w:tcPr>
          <w:p w14:paraId="5100F74D" w14:textId="66443654" w:rsidR="002C6D1A" w:rsidRDefault="00B40D42">
            <w:pPr>
              <w:spacing w:line="360" w:lineRule="auto"/>
              <w:jc w:val="both"/>
              <w:rPr>
                <w:sz w:val="22"/>
                <w:szCs w:val="22"/>
              </w:rPr>
            </w:pPr>
            <w:r>
              <w:rPr>
                <w:b/>
                <w:sz w:val="22"/>
                <w:szCs w:val="22"/>
              </w:rPr>
              <w:lastRenderedPageBreak/>
              <w:t xml:space="preserve">10. </w:t>
            </w:r>
            <w:r w:rsidR="00A44554" w:rsidRPr="00A44554">
              <w:rPr>
                <w:b/>
                <w:color w:val="000000"/>
                <w:sz w:val="22"/>
                <w:szCs w:val="22"/>
                <w:lang w:eastAsia="lt-LT"/>
              </w:rPr>
              <w:t>Projekto veiklos įgyvendinimui taikomi supaprastintai apmokamų išlaidų dydžiai.</w:t>
            </w:r>
          </w:p>
        </w:tc>
      </w:tr>
      <w:tr w:rsidR="002C6D1A" w14:paraId="12B884FF" w14:textId="77777777">
        <w:tc>
          <w:tcPr>
            <w:tcW w:w="14709" w:type="dxa"/>
          </w:tcPr>
          <w:p w14:paraId="437951B7" w14:textId="77777777" w:rsidR="00111483" w:rsidRDefault="00111483" w:rsidP="00111483">
            <w:pPr>
              <w:tabs>
                <w:tab w:val="left" w:pos="447"/>
              </w:tabs>
              <w:spacing w:line="360" w:lineRule="auto"/>
              <w:jc w:val="both"/>
              <w:rPr>
                <w:sz w:val="22"/>
                <w:szCs w:val="22"/>
              </w:rPr>
            </w:pPr>
            <w:r>
              <w:rPr>
                <w:sz w:val="22"/>
                <w:szCs w:val="22"/>
              </w:rPr>
              <w:t>Taikomi Supaprastintai apmokamų išlaidų dydžių registre Priemonei nustatyti supaprastintai apmokamų išlaidų dydžiai</w:t>
            </w:r>
          </w:p>
          <w:p w14:paraId="2040A755" w14:textId="77777777" w:rsidR="00111483" w:rsidRDefault="00111483" w:rsidP="00111483">
            <w:pPr>
              <w:tabs>
                <w:tab w:val="left" w:pos="447"/>
              </w:tabs>
              <w:spacing w:line="360" w:lineRule="auto"/>
              <w:jc w:val="both"/>
              <w:rPr>
                <w:sz w:val="22"/>
                <w:szCs w:val="22"/>
              </w:rPr>
            </w:pPr>
            <w:r>
              <w:rPr>
                <w:sz w:val="22"/>
                <w:szCs w:val="22"/>
              </w:rPr>
              <w:t>https://2021.esinvesticijos.lt/dokumentai/supaprastintai-apmokamu-islaidu-dydziu-registras</w:t>
            </w:r>
          </w:p>
          <w:p w14:paraId="6B603727" w14:textId="77777777" w:rsidR="00111483" w:rsidRDefault="00111483" w:rsidP="00111483">
            <w:pPr>
              <w:tabs>
                <w:tab w:val="left" w:pos="447"/>
              </w:tabs>
              <w:spacing w:line="360" w:lineRule="auto"/>
              <w:jc w:val="both"/>
              <w:rPr>
                <w:sz w:val="22"/>
                <w:szCs w:val="22"/>
              </w:rPr>
            </w:pPr>
            <w:r>
              <w:rPr>
                <w:sz w:val="22"/>
                <w:szCs w:val="22"/>
              </w:rPr>
              <w:t>Parengti fiksuotųjų dydžių tyrimai EJRŽAF lėšomis finansuojamoms veikloms</w:t>
            </w:r>
          </w:p>
          <w:p w14:paraId="1624CE43" w14:textId="6530B3C0" w:rsidR="002C6D1A" w:rsidRPr="00A44554" w:rsidRDefault="00111483" w:rsidP="00111483">
            <w:pPr>
              <w:spacing w:line="360" w:lineRule="auto"/>
              <w:jc w:val="both"/>
              <w:rPr>
                <w:rFonts w:eastAsia="Calibri"/>
                <w:sz w:val="22"/>
                <w:szCs w:val="22"/>
              </w:rPr>
            </w:pPr>
            <w:r>
              <w:rPr>
                <w:sz w:val="22"/>
                <w:szCs w:val="22"/>
              </w:rPr>
              <w:t>https://www.esf.lt/projects/metodines-pagalbos-centras/parengti-fiksuotuju-dydziu-tyrimai/</w:t>
            </w:r>
          </w:p>
          <w:tbl>
            <w:tblPr>
              <w:tblW w:w="14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4946"/>
              <w:gridCol w:w="1701"/>
              <w:gridCol w:w="1701"/>
              <w:gridCol w:w="5166"/>
            </w:tblGrid>
            <w:tr w:rsidR="00111483" w14:paraId="719A1EF3" w14:textId="77777777" w:rsidTr="004444CB">
              <w:trPr>
                <w:trHeight w:val="645"/>
              </w:trPr>
              <w:tc>
                <w:tcPr>
                  <w:tcW w:w="861" w:type="dxa"/>
                  <w:vAlign w:val="center"/>
                  <w:hideMark/>
                </w:tcPr>
                <w:p w14:paraId="27AB1BA6" w14:textId="77777777" w:rsidR="00111483" w:rsidRDefault="00111483" w:rsidP="00111483">
                  <w:pPr>
                    <w:jc w:val="center"/>
                    <w:rPr>
                      <w:b/>
                      <w:bCs/>
                      <w:sz w:val="22"/>
                      <w:szCs w:val="22"/>
                    </w:rPr>
                  </w:pPr>
                  <w:r>
                    <w:rPr>
                      <w:b/>
                      <w:bCs/>
                      <w:sz w:val="22"/>
                      <w:szCs w:val="22"/>
                    </w:rPr>
                    <w:t>Eil. Nr.</w:t>
                  </w:r>
                </w:p>
              </w:tc>
              <w:tc>
                <w:tcPr>
                  <w:tcW w:w="4946" w:type="dxa"/>
                  <w:vAlign w:val="center"/>
                  <w:hideMark/>
                </w:tcPr>
                <w:p w14:paraId="6A50663A" w14:textId="77777777" w:rsidR="00111483" w:rsidRDefault="00111483" w:rsidP="00111483">
                  <w:pPr>
                    <w:jc w:val="center"/>
                    <w:rPr>
                      <w:b/>
                      <w:bCs/>
                      <w:sz w:val="22"/>
                      <w:szCs w:val="22"/>
                    </w:rPr>
                  </w:pPr>
                  <w:r>
                    <w:rPr>
                      <w:b/>
                      <w:bCs/>
                      <w:sz w:val="22"/>
                      <w:szCs w:val="22"/>
                    </w:rPr>
                    <w:t>Veiklos ir (ar) išlaidos, kurioms taikomi supaprastintai apmokamų išlaidų dydžiai</w:t>
                  </w:r>
                </w:p>
              </w:tc>
              <w:tc>
                <w:tcPr>
                  <w:tcW w:w="1701" w:type="dxa"/>
                  <w:vAlign w:val="center"/>
                  <w:hideMark/>
                </w:tcPr>
                <w:p w14:paraId="296E9E61" w14:textId="77777777" w:rsidR="00111483" w:rsidRDefault="00111483" w:rsidP="00111483">
                  <w:pPr>
                    <w:jc w:val="center"/>
                    <w:rPr>
                      <w:b/>
                      <w:bCs/>
                      <w:sz w:val="22"/>
                      <w:szCs w:val="22"/>
                    </w:rPr>
                  </w:pPr>
                  <w:r>
                    <w:rPr>
                      <w:b/>
                      <w:bCs/>
                      <w:sz w:val="22"/>
                      <w:szCs w:val="22"/>
                    </w:rPr>
                    <w:t>Supaprastintai apmokamų išlaidų dydžio kodas</w:t>
                  </w:r>
                </w:p>
              </w:tc>
              <w:tc>
                <w:tcPr>
                  <w:tcW w:w="1701" w:type="dxa"/>
                  <w:vAlign w:val="center"/>
                  <w:hideMark/>
                </w:tcPr>
                <w:p w14:paraId="13BECAE1" w14:textId="77777777" w:rsidR="00111483" w:rsidRDefault="00111483" w:rsidP="00111483">
                  <w:pPr>
                    <w:jc w:val="center"/>
                    <w:rPr>
                      <w:b/>
                      <w:bCs/>
                      <w:i/>
                      <w:iCs/>
                      <w:sz w:val="22"/>
                      <w:szCs w:val="22"/>
                    </w:rPr>
                  </w:pPr>
                  <w:r>
                    <w:rPr>
                      <w:b/>
                      <w:bCs/>
                      <w:sz w:val="22"/>
                      <w:szCs w:val="22"/>
                    </w:rPr>
                    <w:t>Supaprastintai apmokamų išlaidų dydis</w:t>
                  </w:r>
                </w:p>
              </w:tc>
              <w:tc>
                <w:tcPr>
                  <w:tcW w:w="5166" w:type="dxa"/>
                  <w:vAlign w:val="center"/>
                  <w:hideMark/>
                </w:tcPr>
                <w:p w14:paraId="1979D2D6" w14:textId="77777777" w:rsidR="00111483" w:rsidRDefault="00111483" w:rsidP="00111483">
                  <w:pPr>
                    <w:jc w:val="center"/>
                    <w:rPr>
                      <w:b/>
                      <w:bCs/>
                      <w:sz w:val="22"/>
                      <w:szCs w:val="22"/>
                    </w:rPr>
                  </w:pPr>
                  <w:r>
                    <w:rPr>
                      <w:b/>
                      <w:bCs/>
                      <w:sz w:val="22"/>
                      <w:szCs w:val="22"/>
                    </w:rPr>
                    <w:t>Supaprastintai apmokamų išlaidų dydžio pavadinimas</w:t>
                  </w:r>
                </w:p>
              </w:tc>
            </w:tr>
            <w:tr w:rsidR="00111483" w14:paraId="6F59A526" w14:textId="77777777" w:rsidTr="004444CB">
              <w:trPr>
                <w:trHeight w:val="50"/>
              </w:trPr>
              <w:tc>
                <w:tcPr>
                  <w:tcW w:w="861" w:type="dxa"/>
                  <w:hideMark/>
                </w:tcPr>
                <w:p w14:paraId="40A24DDC" w14:textId="77777777" w:rsidR="00111483" w:rsidRDefault="00111483" w:rsidP="00111483">
                  <w:pPr>
                    <w:jc w:val="center"/>
                    <w:rPr>
                      <w:sz w:val="22"/>
                      <w:szCs w:val="22"/>
                    </w:rPr>
                  </w:pPr>
                  <w:r>
                    <w:rPr>
                      <w:sz w:val="22"/>
                      <w:szCs w:val="22"/>
                    </w:rPr>
                    <w:t>1.</w:t>
                  </w:r>
                </w:p>
              </w:tc>
              <w:tc>
                <w:tcPr>
                  <w:tcW w:w="4946" w:type="dxa"/>
                  <w:hideMark/>
                </w:tcPr>
                <w:p w14:paraId="2D91B4E2" w14:textId="77777777" w:rsidR="00111483" w:rsidRDefault="00111483" w:rsidP="00111483">
                  <w:pPr>
                    <w:jc w:val="center"/>
                    <w:rPr>
                      <w:sz w:val="22"/>
                      <w:szCs w:val="22"/>
                    </w:rPr>
                  </w:pPr>
                  <w:r>
                    <w:rPr>
                      <w:sz w:val="22"/>
                      <w:szCs w:val="22"/>
                    </w:rPr>
                    <w:t>2.</w:t>
                  </w:r>
                </w:p>
              </w:tc>
              <w:tc>
                <w:tcPr>
                  <w:tcW w:w="1701" w:type="dxa"/>
                  <w:vAlign w:val="center"/>
                  <w:hideMark/>
                </w:tcPr>
                <w:p w14:paraId="49D51246" w14:textId="77777777" w:rsidR="00111483" w:rsidRDefault="00111483" w:rsidP="00111483">
                  <w:pPr>
                    <w:jc w:val="center"/>
                    <w:rPr>
                      <w:sz w:val="22"/>
                      <w:szCs w:val="22"/>
                    </w:rPr>
                  </w:pPr>
                  <w:r>
                    <w:rPr>
                      <w:sz w:val="22"/>
                      <w:szCs w:val="22"/>
                    </w:rPr>
                    <w:t>3.</w:t>
                  </w:r>
                </w:p>
              </w:tc>
              <w:tc>
                <w:tcPr>
                  <w:tcW w:w="1701" w:type="dxa"/>
                  <w:vAlign w:val="center"/>
                  <w:hideMark/>
                </w:tcPr>
                <w:p w14:paraId="0E2AEEE9" w14:textId="77777777" w:rsidR="00111483" w:rsidRDefault="00111483" w:rsidP="00111483">
                  <w:pPr>
                    <w:jc w:val="center"/>
                    <w:rPr>
                      <w:sz w:val="22"/>
                      <w:szCs w:val="22"/>
                    </w:rPr>
                  </w:pPr>
                  <w:r>
                    <w:rPr>
                      <w:sz w:val="22"/>
                      <w:szCs w:val="22"/>
                    </w:rPr>
                    <w:t>4.</w:t>
                  </w:r>
                </w:p>
              </w:tc>
              <w:tc>
                <w:tcPr>
                  <w:tcW w:w="5166" w:type="dxa"/>
                  <w:vAlign w:val="center"/>
                  <w:hideMark/>
                </w:tcPr>
                <w:p w14:paraId="201C0E34" w14:textId="77777777" w:rsidR="00111483" w:rsidRDefault="00111483" w:rsidP="00111483">
                  <w:pPr>
                    <w:jc w:val="center"/>
                    <w:rPr>
                      <w:sz w:val="22"/>
                      <w:szCs w:val="22"/>
                    </w:rPr>
                  </w:pPr>
                  <w:r>
                    <w:rPr>
                      <w:sz w:val="22"/>
                      <w:szCs w:val="22"/>
                    </w:rPr>
                    <w:t>5.</w:t>
                  </w:r>
                </w:p>
              </w:tc>
            </w:tr>
            <w:tr w:rsidR="00111483" w14:paraId="58BC60B9" w14:textId="77777777" w:rsidTr="004444CB">
              <w:trPr>
                <w:trHeight w:val="742"/>
              </w:trPr>
              <w:tc>
                <w:tcPr>
                  <w:tcW w:w="861" w:type="dxa"/>
                  <w:hideMark/>
                </w:tcPr>
                <w:p w14:paraId="5D218EDA" w14:textId="77777777" w:rsidR="00111483" w:rsidRDefault="00111483" w:rsidP="00111483">
                  <w:pPr>
                    <w:jc w:val="center"/>
                    <w:rPr>
                      <w:sz w:val="22"/>
                      <w:szCs w:val="22"/>
                    </w:rPr>
                  </w:pPr>
                  <w:r>
                    <w:rPr>
                      <w:sz w:val="22"/>
                      <w:szCs w:val="22"/>
                    </w:rPr>
                    <w:t>10.1.</w:t>
                  </w:r>
                </w:p>
              </w:tc>
              <w:tc>
                <w:tcPr>
                  <w:tcW w:w="4946" w:type="dxa"/>
                  <w:vMerge w:val="restart"/>
                  <w:hideMark/>
                </w:tcPr>
                <w:p w14:paraId="6B721856" w14:textId="77777777" w:rsidR="00111483" w:rsidRDefault="00111483" w:rsidP="00111483">
                  <w:pPr>
                    <w:rPr>
                      <w:sz w:val="22"/>
                      <w:szCs w:val="22"/>
                    </w:rPr>
                  </w:pPr>
                  <w:r>
                    <w:rPr>
                      <w:sz w:val="22"/>
                      <w:szCs w:val="22"/>
                    </w:rPr>
                    <w:t>Fiksuotąją sumą sudaro visų pirmojo privalomų matomumo ir informavimo priemonių rinkinio išlaidos, kai:</w:t>
                  </w:r>
                </w:p>
                <w:p w14:paraId="131C7E9A" w14:textId="77777777" w:rsidR="00111483" w:rsidRDefault="00111483" w:rsidP="00111483">
                  <w:pPr>
                    <w:rPr>
                      <w:sz w:val="22"/>
                      <w:szCs w:val="22"/>
                    </w:rPr>
                  </w:pPr>
                  <w:r>
                    <w:rPr>
                      <w:sz w:val="22"/>
                      <w:szCs w:val="22"/>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47318807" w14:textId="77777777" w:rsidR="00111483" w:rsidRDefault="00111483" w:rsidP="00111483">
                  <w:pPr>
                    <w:rPr>
                      <w:sz w:val="22"/>
                      <w:szCs w:val="22"/>
                    </w:rPr>
                  </w:pPr>
                  <w:r>
                    <w:rPr>
                      <w:sz w:val="22"/>
                      <w:szCs w:val="22"/>
                    </w:rPr>
                    <w:t xml:space="preserve">b) projekto įgyvendinimo pradžioje visuomenei gerai matomoje vietoje pakabintas bent vienas ne mažesnio </w:t>
                  </w:r>
                  <w:r>
                    <w:rPr>
                      <w:sz w:val="22"/>
                      <w:szCs w:val="22"/>
                    </w:rPr>
                    <w:lastRenderedPageBreak/>
                    <w:t>nei A3 formato spausdintas skelbimas (plakatas) arba elektroniniame ekrane paskelbtas lygiavertis pranešimas, kuriame turi būti pateikta informacija apie veiksmą akcentuojant iš ES gaunamą finansinę paramą;</w:t>
                  </w:r>
                </w:p>
                <w:p w14:paraId="523C4338" w14:textId="77777777" w:rsidR="00111483" w:rsidRDefault="00111483" w:rsidP="00111483">
                  <w:pPr>
                    <w:rPr>
                      <w:sz w:val="22"/>
                      <w:szCs w:val="22"/>
                    </w:rPr>
                  </w:pPr>
                  <w:r>
                    <w:rPr>
                      <w:sz w:val="22"/>
                      <w:szCs w:val="22"/>
                    </w:rPr>
                    <w:t>c) visuomenei arba dalyviams skirtuose dokumentuose ir komunikacijos medžiagoje, susijusioje su veiksmo įgyvendinimu, gerai matomai pateiktas pareiškimas, kuriame akcentuojama gaunama ES parama.</w:t>
                  </w:r>
                </w:p>
              </w:tc>
              <w:tc>
                <w:tcPr>
                  <w:tcW w:w="1701" w:type="dxa"/>
                  <w:vAlign w:val="center"/>
                  <w:hideMark/>
                </w:tcPr>
                <w:p w14:paraId="6CEB8A8A" w14:textId="77777777" w:rsidR="00111483" w:rsidRDefault="00111483" w:rsidP="00111483">
                  <w:pPr>
                    <w:jc w:val="center"/>
                    <w:rPr>
                      <w:sz w:val="22"/>
                      <w:szCs w:val="22"/>
                    </w:rPr>
                  </w:pPr>
                  <w:r>
                    <w:rPr>
                      <w:sz w:val="22"/>
                      <w:szCs w:val="22"/>
                    </w:rPr>
                    <w:lastRenderedPageBreak/>
                    <w:t>FS-01-01</w:t>
                  </w:r>
                </w:p>
              </w:tc>
              <w:tc>
                <w:tcPr>
                  <w:tcW w:w="1701" w:type="dxa"/>
                  <w:vAlign w:val="center"/>
                  <w:hideMark/>
                </w:tcPr>
                <w:p w14:paraId="232ED01D" w14:textId="77777777" w:rsidR="00111483" w:rsidRDefault="00111483" w:rsidP="00111483">
                  <w:pPr>
                    <w:jc w:val="center"/>
                    <w:rPr>
                      <w:sz w:val="22"/>
                      <w:szCs w:val="22"/>
                    </w:rPr>
                  </w:pPr>
                  <w:r>
                    <w:rPr>
                      <w:sz w:val="22"/>
                      <w:szCs w:val="22"/>
                    </w:rPr>
                    <w:t>-</w:t>
                  </w:r>
                </w:p>
              </w:tc>
              <w:tc>
                <w:tcPr>
                  <w:tcW w:w="5166" w:type="dxa"/>
                  <w:vAlign w:val="center"/>
                  <w:hideMark/>
                </w:tcPr>
                <w:p w14:paraId="55F2A54D" w14:textId="77777777" w:rsidR="00111483" w:rsidRDefault="00111483" w:rsidP="00111483">
                  <w:pPr>
                    <w:jc w:val="center"/>
                    <w:rPr>
                      <w:sz w:val="22"/>
                      <w:szCs w:val="22"/>
                    </w:rPr>
                  </w:pPr>
                  <w:r>
                    <w:rPr>
                      <w:sz w:val="22"/>
                      <w:szCs w:val="22"/>
                    </w:rPr>
                    <w:t>Įgyvendintų privalomų matomumo ir informavimo priemonių apie ES fondų investicijų veiklas fiksuotoji suma, pirmojo rinkinio FS be PVM</w:t>
                  </w:r>
                </w:p>
              </w:tc>
            </w:tr>
            <w:tr w:rsidR="00111483" w14:paraId="1D13A932" w14:textId="77777777" w:rsidTr="004444CB">
              <w:trPr>
                <w:trHeight w:val="752"/>
              </w:trPr>
              <w:tc>
                <w:tcPr>
                  <w:tcW w:w="861" w:type="dxa"/>
                  <w:hideMark/>
                </w:tcPr>
                <w:p w14:paraId="4DD78CAC" w14:textId="77777777" w:rsidR="00111483" w:rsidRDefault="00111483" w:rsidP="00111483">
                  <w:pPr>
                    <w:jc w:val="center"/>
                    <w:rPr>
                      <w:i/>
                      <w:iCs/>
                      <w:sz w:val="22"/>
                      <w:szCs w:val="22"/>
                    </w:rPr>
                  </w:pPr>
                  <w:r>
                    <w:rPr>
                      <w:sz w:val="22"/>
                      <w:szCs w:val="22"/>
                    </w:rPr>
                    <w:t>10.2.</w:t>
                  </w:r>
                </w:p>
              </w:tc>
              <w:tc>
                <w:tcPr>
                  <w:tcW w:w="4946" w:type="dxa"/>
                  <w:vMerge/>
                  <w:vAlign w:val="center"/>
                  <w:hideMark/>
                </w:tcPr>
                <w:p w14:paraId="613C78CD" w14:textId="77777777" w:rsidR="00111483" w:rsidRDefault="00111483" w:rsidP="00111483">
                  <w:pPr>
                    <w:rPr>
                      <w:sz w:val="22"/>
                      <w:szCs w:val="22"/>
                    </w:rPr>
                  </w:pPr>
                </w:p>
              </w:tc>
              <w:tc>
                <w:tcPr>
                  <w:tcW w:w="1701" w:type="dxa"/>
                  <w:vAlign w:val="center"/>
                  <w:hideMark/>
                </w:tcPr>
                <w:p w14:paraId="67F333E6" w14:textId="77777777" w:rsidR="00111483" w:rsidRDefault="00111483" w:rsidP="00111483">
                  <w:pPr>
                    <w:jc w:val="center"/>
                    <w:rPr>
                      <w:sz w:val="22"/>
                      <w:szCs w:val="22"/>
                    </w:rPr>
                  </w:pPr>
                  <w:r>
                    <w:rPr>
                      <w:sz w:val="22"/>
                      <w:szCs w:val="22"/>
                    </w:rPr>
                    <w:t>FS-01-02</w:t>
                  </w:r>
                </w:p>
              </w:tc>
              <w:tc>
                <w:tcPr>
                  <w:tcW w:w="1701" w:type="dxa"/>
                  <w:vAlign w:val="center"/>
                  <w:hideMark/>
                </w:tcPr>
                <w:p w14:paraId="781B002D" w14:textId="77777777" w:rsidR="00111483" w:rsidRDefault="00111483" w:rsidP="00111483">
                  <w:pPr>
                    <w:jc w:val="center"/>
                    <w:rPr>
                      <w:sz w:val="22"/>
                      <w:szCs w:val="22"/>
                    </w:rPr>
                  </w:pPr>
                  <w:r>
                    <w:rPr>
                      <w:sz w:val="22"/>
                      <w:szCs w:val="22"/>
                    </w:rPr>
                    <w:t>-</w:t>
                  </w:r>
                </w:p>
              </w:tc>
              <w:tc>
                <w:tcPr>
                  <w:tcW w:w="5166" w:type="dxa"/>
                  <w:vAlign w:val="center"/>
                  <w:hideMark/>
                </w:tcPr>
                <w:p w14:paraId="3EE2C7B1" w14:textId="77777777" w:rsidR="00111483" w:rsidRDefault="00111483" w:rsidP="00111483">
                  <w:pPr>
                    <w:jc w:val="center"/>
                    <w:rPr>
                      <w:sz w:val="22"/>
                      <w:szCs w:val="22"/>
                    </w:rPr>
                  </w:pPr>
                  <w:r>
                    <w:rPr>
                      <w:sz w:val="22"/>
                      <w:szCs w:val="22"/>
                    </w:rPr>
                    <w:t>Įgyvendintų privalomų matomumo ir informavimo priemonių apie ES fondų investicijų veiklas fiksuotoji suma, pirmojo rinkinio FS su PVM</w:t>
                  </w:r>
                </w:p>
              </w:tc>
            </w:tr>
            <w:tr w:rsidR="00111483" w14:paraId="17647AC0" w14:textId="77777777" w:rsidTr="004444CB">
              <w:trPr>
                <w:trHeight w:val="452"/>
              </w:trPr>
              <w:tc>
                <w:tcPr>
                  <w:tcW w:w="861" w:type="dxa"/>
                </w:tcPr>
                <w:p w14:paraId="164E991E" w14:textId="77777777" w:rsidR="00111483" w:rsidRDefault="00111483" w:rsidP="00111483">
                  <w:pPr>
                    <w:jc w:val="center"/>
                    <w:rPr>
                      <w:sz w:val="22"/>
                      <w:szCs w:val="22"/>
                    </w:rPr>
                  </w:pPr>
                  <w:r>
                    <w:rPr>
                      <w:sz w:val="22"/>
                      <w:szCs w:val="22"/>
                    </w:rPr>
                    <w:t>10.3.</w:t>
                  </w:r>
                </w:p>
              </w:tc>
              <w:tc>
                <w:tcPr>
                  <w:tcW w:w="4946" w:type="dxa"/>
                  <w:vMerge w:val="restart"/>
                  <w:vAlign w:val="center"/>
                  <w:hideMark/>
                </w:tcPr>
                <w:p w14:paraId="6054BEFB" w14:textId="77777777" w:rsidR="00111483" w:rsidRDefault="00111483" w:rsidP="00111483">
                  <w:pPr>
                    <w:rPr>
                      <w:sz w:val="22"/>
                      <w:szCs w:val="22"/>
                    </w:rPr>
                  </w:pPr>
                  <w:r>
                    <w:rPr>
                      <w:sz w:val="22"/>
                      <w:szCs w:val="22"/>
                    </w:rPr>
                    <w:t>Fiksuotosios sumos nustatytos už laikino žvejybos ribojimo laikotarpiu sustabdytą veiklą ir negautas pardavimo pajamas.</w:t>
                  </w:r>
                </w:p>
              </w:tc>
              <w:tc>
                <w:tcPr>
                  <w:tcW w:w="1701" w:type="dxa"/>
                  <w:vAlign w:val="center"/>
                  <w:hideMark/>
                </w:tcPr>
                <w:p w14:paraId="2E2F8E08" w14:textId="77777777" w:rsidR="00111483" w:rsidRDefault="00111483" w:rsidP="00111483">
                  <w:pPr>
                    <w:jc w:val="center"/>
                    <w:rPr>
                      <w:sz w:val="22"/>
                      <w:szCs w:val="22"/>
                    </w:rPr>
                  </w:pPr>
                  <w:r>
                    <w:rPr>
                      <w:sz w:val="22"/>
                      <w:szCs w:val="22"/>
                    </w:rPr>
                    <w:t>FS-04-01</w:t>
                  </w:r>
                </w:p>
              </w:tc>
              <w:tc>
                <w:tcPr>
                  <w:tcW w:w="1701" w:type="dxa"/>
                  <w:vAlign w:val="center"/>
                  <w:hideMark/>
                </w:tcPr>
                <w:p w14:paraId="7168A37E" w14:textId="77777777" w:rsidR="00111483" w:rsidRDefault="00111483" w:rsidP="00111483">
                  <w:pPr>
                    <w:jc w:val="center"/>
                    <w:rPr>
                      <w:sz w:val="22"/>
                      <w:szCs w:val="22"/>
                    </w:rPr>
                  </w:pPr>
                  <w:r>
                    <w:rPr>
                      <w:sz w:val="22"/>
                      <w:szCs w:val="22"/>
                    </w:rPr>
                    <w:t>-</w:t>
                  </w:r>
                </w:p>
              </w:tc>
              <w:tc>
                <w:tcPr>
                  <w:tcW w:w="5166" w:type="dxa"/>
                  <w:vAlign w:val="center"/>
                  <w:hideMark/>
                </w:tcPr>
                <w:p w14:paraId="565509C4" w14:textId="77777777" w:rsidR="00111483" w:rsidRDefault="00111483" w:rsidP="00111483">
                  <w:pPr>
                    <w:jc w:val="center"/>
                    <w:rPr>
                      <w:sz w:val="22"/>
                      <w:szCs w:val="22"/>
                    </w:rPr>
                  </w:pPr>
                  <w:r>
                    <w:rPr>
                      <w:sz w:val="22"/>
                      <w:szCs w:val="22"/>
                    </w:rPr>
                    <w:t>Fiksuotoji suma už laikiną žvejybos ribojimą statomaisiais (žiauniniais) tinklais Baltijos jūros priekrantėje, kai įmonė anksčiau lapkričio–kovo mėn. vidutiniškai žvejojo iki 38 val. (imtinai), be PVM</w:t>
                  </w:r>
                </w:p>
              </w:tc>
            </w:tr>
            <w:tr w:rsidR="00111483" w14:paraId="33324086" w14:textId="77777777" w:rsidTr="004444CB">
              <w:trPr>
                <w:trHeight w:val="270"/>
              </w:trPr>
              <w:tc>
                <w:tcPr>
                  <w:tcW w:w="861" w:type="dxa"/>
                </w:tcPr>
                <w:p w14:paraId="04C5C35D" w14:textId="77777777" w:rsidR="00111483" w:rsidRDefault="00111483" w:rsidP="00111483">
                  <w:pPr>
                    <w:jc w:val="center"/>
                    <w:rPr>
                      <w:sz w:val="22"/>
                      <w:szCs w:val="22"/>
                    </w:rPr>
                  </w:pPr>
                  <w:r>
                    <w:rPr>
                      <w:sz w:val="22"/>
                      <w:szCs w:val="22"/>
                    </w:rPr>
                    <w:t>10.4.</w:t>
                  </w:r>
                </w:p>
              </w:tc>
              <w:tc>
                <w:tcPr>
                  <w:tcW w:w="4946" w:type="dxa"/>
                  <w:vMerge/>
                  <w:vAlign w:val="center"/>
                  <w:hideMark/>
                </w:tcPr>
                <w:p w14:paraId="31E46F53" w14:textId="77777777" w:rsidR="00111483" w:rsidRDefault="00111483" w:rsidP="00111483">
                  <w:pPr>
                    <w:rPr>
                      <w:sz w:val="22"/>
                      <w:szCs w:val="22"/>
                    </w:rPr>
                  </w:pPr>
                </w:p>
              </w:tc>
              <w:tc>
                <w:tcPr>
                  <w:tcW w:w="1701" w:type="dxa"/>
                  <w:vAlign w:val="center"/>
                  <w:hideMark/>
                </w:tcPr>
                <w:p w14:paraId="238F80E5" w14:textId="77777777" w:rsidR="00111483" w:rsidRDefault="00111483" w:rsidP="00111483">
                  <w:pPr>
                    <w:jc w:val="center"/>
                    <w:rPr>
                      <w:sz w:val="22"/>
                      <w:szCs w:val="22"/>
                    </w:rPr>
                  </w:pPr>
                  <w:r>
                    <w:rPr>
                      <w:sz w:val="22"/>
                      <w:szCs w:val="22"/>
                    </w:rPr>
                    <w:t>FS-04-02</w:t>
                  </w:r>
                </w:p>
              </w:tc>
              <w:tc>
                <w:tcPr>
                  <w:tcW w:w="1701" w:type="dxa"/>
                  <w:vAlign w:val="center"/>
                  <w:hideMark/>
                </w:tcPr>
                <w:p w14:paraId="53509E71" w14:textId="77777777" w:rsidR="00111483" w:rsidRDefault="00111483" w:rsidP="00111483">
                  <w:pPr>
                    <w:jc w:val="center"/>
                    <w:rPr>
                      <w:sz w:val="22"/>
                      <w:szCs w:val="22"/>
                    </w:rPr>
                  </w:pPr>
                  <w:r>
                    <w:rPr>
                      <w:sz w:val="22"/>
                      <w:szCs w:val="22"/>
                    </w:rPr>
                    <w:t>-</w:t>
                  </w:r>
                </w:p>
              </w:tc>
              <w:tc>
                <w:tcPr>
                  <w:tcW w:w="5166" w:type="dxa"/>
                  <w:vAlign w:val="center"/>
                  <w:hideMark/>
                </w:tcPr>
                <w:p w14:paraId="56DB394E" w14:textId="77777777" w:rsidR="00111483" w:rsidRDefault="00111483" w:rsidP="00111483">
                  <w:pPr>
                    <w:jc w:val="center"/>
                    <w:rPr>
                      <w:sz w:val="22"/>
                      <w:szCs w:val="22"/>
                    </w:rPr>
                  </w:pPr>
                  <w:r>
                    <w:rPr>
                      <w:sz w:val="22"/>
                      <w:szCs w:val="22"/>
                    </w:rPr>
                    <w:t>Fiksuotoji suma už laikiną žvejybos ribojimą statomaisiais (žiauniniais) tinklais Baltijos jūros priekrantėje, kai įmonė anksčiau lapkričio–kovo mėn. vidutiniškai žvejojo iki 38 val. (imtinai), su PVM</w:t>
                  </w:r>
                </w:p>
              </w:tc>
            </w:tr>
            <w:tr w:rsidR="00111483" w14:paraId="22E033EE" w14:textId="77777777" w:rsidTr="004444CB">
              <w:trPr>
                <w:trHeight w:val="752"/>
              </w:trPr>
              <w:tc>
                <w:tcPr>
                  <w:tcW w:w="861" w:type="dxa"/>
                </w:tcPr>
                <w:p w14:paraId="29E230B1" w14:textId="77777777" w:rsidR="00111483" w:rsidRDefault="00111483" w:rsidP="00111483">
                  <w:pPr>
                    <w:jc w:val="center"/>
                    <w:rPr>
                      <w:sz w:val="22"/>
                      <w:szCs w:val="22"/>
                    </w:rPr>
                  </w:pPr>
                </w:p>
                <w:p w14:paraId="6572D23C" w14:textId="77777777" w:rsidR="00111483" w:rsidRDefault="00111483" w:rsidP="00111483">
                  <w:pPr>
                    <w:jc w:val="center"/>
                    <w:rPr>
                      <w:sz w:val="22"/>
                      <w:szCs w:val="22"/>
                    </w:rPr>
                  </w:pPr>
                  <w:r>
                    <w:rPr>
                      <w:sz w:val="22"/>
                      <w:szCs w:val="22"/>
                    </w:rPr>
                    <w:t>10.5.</w:t>
                  </w:r>
                </w:p>
              </w:tc>
              <w:tc>
                <w:tcPr>
                  <w:tcW w:w="4946" w:type="dxa"/>
                  <w:vMerge/>
                  <w:vAlign w:val="center"/>
                  <w:hideMark/>
                </w:tcPr>
                <w:p w14:paraId="00F84322" w14:textId="77777777" w:rsidR="00111483" w:rsidRDefault="00111483" w:rsidP="00111483">
                  <w:pPr>
                    <w:rPr>
                      <w:sz w:val="22"/>
                      <w:szCs w:val="22"/>
                    </w:rPr>
                  </w:pPr>
                </w:p>
              </w:tc>
              <w:tc>
                <w:tcPr>
                  <w:tcW w:w="1701" w:type="dxa"/>
                  <w:vAlign w:val="center"/>
                  <w:hideMark/>
                </w:tcPr>
                <w:p w14:paraId="4F342214" w14:textId="77777777" w:rsidR="00111483" w:rsidRDefault="00111483" w:rsidP="00111483">
                  <w:pPr>
                    <w:jc w:val="center"/>
                    <w:rPr>
                      <w:sz w:val="22"/>
                      <w:szCs w:val="22"/>
                    </w:rPr>
                  </w:pPr>
                  <w:r>
                    <w:rPr>
                      <w:sz w:val="22"/>
                      <w:szCs w:val="22"/>
                    </w:rPr>
                    <w:t>FS-04-03</w:t>
                  </w:r>
                </w:p>
              </w:tc>
              <w:tc>
                <w:tcPr>
                  <w:tcW w:w="1701" w:type="dxa"/>
                  <w:vAlign w:val="center"/>
                  <w:hideMark/>
                </w:tcPr>
                <w:p w14:paraId="1E0C31FC" w14:textId="77777777" w:rsidR="00111483" w:rsidRDefault="00111483" w:rsidP="00111483">
                  <w:pPr>
                    <w:jc w:val="center"/>
                    <w:rPr>
                      <w:sz w:val="22"/>
                      <w:szCs w:val="22"/>
                    </w:rPr>
                  </w:pPr>
                  <w:r>
                    <w:rPr>
                      <w:sz w:val="22"/>
                      <w:szCs w:val="22"/>
                    </w:rPr>
                    <w:t>-</w:t>
                  </w:r>
                </w:p>
              </w:tc>
              <w:tc>
                <w:tcPr>
                  <w:tcW w:w="5166" w:type="dxa"/>
                  <w:vAlign w:val="center"/>
                  <w:hideMark/>
                </w:tcPr>
                <w:p w14:paraId="54E651E2" w14:textId="77777777" w:rsidR="00111483" w:rsidRDefault="00111483" w:rsidP="00111483">
                  <w:pPr>
                    <w:jc w:val="center"/>
                    <w:rPr>
                      <w:sz w:val="22"/>
                      <w:szCs w:val="22"/>
                    </w:rPr>
                  </w:pPr>
                  <w:r>
                    <w:rPr>
                      <w:sz w:val="22"/>
                      <w:szCs w:val="22"/>
                    </w:rPr>
                    <w:t>Fiksuotoji suma už laikiną žvejybos ribojimą statomaisiais (žiauniniais) tinklais Baltijos jūros priekrantėje, kai įmonė anksčiau lapkričio–kovo mėn. vidutiniškai žvejojo nuo 39 iki 208 val., be PVM</w:t>
                  </w:r>
                </w:p>
              </w:tc>
            </w:tr>
            <w:tr w:rsidR="00111483" w14:paraId="05BF16B1" w14:textId="77777777" w:rsidTr="004444CB">
              <w:trPr>
                <w:trHeight w:val="752"/>
              </w:trPr>
              <w:tc>
                <w:tcPr>
                  <w:tcW w:w="861" w:type="dxa"/>
                </w:tcPr>
                <w:p w14:paraId="0E34E95C" w14:textId="77777777" w:rsidR="00111483" w:rsidRDefault="00111483" w:rsidP="00111483">
                  <w:pPr>
                    <w:jc w:val="center"/>
                    <w:rPr>
                      <w:sz w:val="22"/>
                      <w:szCs w:val="22"/>
                    </w:rPr>
                  </w:pPr>
                </w:p>
                <w:p w14:paraId="1EE9353B" w14:textId="77777777" w:rsidR="00111483" w:rsidRDefault="00111483" w:rsidP="00111483">
                  <w:pPr>
                    <w:jc w:val="center"/>
                    <w:rPr>
                      <w:sz w:val="22"/>
                      <w:szCs w:val="22"/>
                    </w:rPr>
                  </w:pPr>
                  <w:r>
                    <w:rPr>
                      <w:sz w:val="22"/>
                      <w:szCs w:val="22"/>
                    </w:rPr>
                    <w:t>10.6.</w:t>
                  </w:r>
                </w:p>
              </w:tc>
              <w:tc>
                <w:tcPr>
                  <w:tcW w:w="4946" w:type="dxa"/>
                  <w:vMerge/>
                  <w:vAlign w:val="center"/>
                  <w:hideMark/>
                </w:tcPr>
                <w:p w14:paraId="73ABE4DC" w14:textId="77777777" w:rsidR="00111483" w:rsidRDefault="00111483" w:rsidP="00111483">
                  <w:pPr>
                    <w:rPr>
                      <w:sz w:val="22"/>
                      <w:szCs w:val="22"/>
                    </w:rPr>
                  </w:pPr>
                </w:p>
              </w:tc>
              <w:tc>
                <w:tcPr>
                  <w:tcW w:w="1701" w:type="dxa"/>
                  <w:vAlign w:val="center"/>
                  <w:hideMark/>
                </w:tcPr>
                <w:p w14:paraId="2477B041" w14:textId="77777777" w:rsidR="00111483" w:rsidRDefault="00111483" w:rsidP="00111483">
                  <w:pPr>
                    <w:jc w:val="center"/>
                    <w:rPr>
                      <w:sz w:val="22"/>
                      <w:szCs w:val="22"/>
                    </w:rPr>
                  </w:pPr>
                  <w:r>
                    <w:rPr>
                      <w:sz w:val="22"/>
                      <w:szCs w:val="22"/>
                    </w:rPr>
                    <w:t>FS-04-04</w:t>
                  </w:r>
                </w:p>
              </w:tc>
              <w:tc>
                <w:tcPr>
                  <w:tcW w:w="1701" w:type="dxa"/>
                  <w:vAlign w:val="center"/>
                  <w:hideMark/>
                </w:tcPr>
                <w:p w14:paraId="1EB1697C" w14:textId="77777777" w:rsidR="00111483" w:rsidRDefault="00111483" w:rsidP="00111483">
                  <w:pPr>
                    <w:jc w:val="center"/>
                    <w:rPr>
                      <w:sz w:val="22"/>
                      <w:szCs w:val="22"/>
                    </w:rPr>
                  </w:pPr>
                  <w:r>
                    <w:rPr>
                      <w:sz w:val="22"/>
                      <w:szCs w:val="22"/>
                    </w:rPr>
                    <w:t>-</w:t>
                  </w:r>
                </w:p>
              </w:tc>
              <w:tc>
                <w:tcPr>
                  <w:tcW w:w="5166" w:type="dxa"/>
                  <w:vAlign w:val="center"/>
                  <w:hideMark/>
                </w:tcPr>
                <w:p w14:paraId="1728728C" w14:textId="77777777" w:rsidR="00111483" w:rsidRDefault="00111483" w:rsidP="00111483">
                  <w:pPr>
                    <w:jc w:val="center"/>
                    <w:rPr>
                      <w:sz w:val="22"/>
                      <w:szCs w:val="22"/>
                    </w:rPr>
                  </w:pPr>
                  <w:r>
                    <w:rPr>
                      <w:sz w:val="22"/>
                      <w:szCs w:val="22"/>
                    </w:rPr>
                    <w:t>Fiksuotoji suma už laikiną žvejybos ribojimą statomaisiais (žiauniniais) tinklais Baltijos jūros priekrantėje, kai įmonė anksčiau lapkričio–kovo mėn. vidutiniškai žvejojo nuo 39 iki 208 val., su PVM</w:t>
                  </w:r>
                </w:p>
              </w:tc>
            </w:tr>
            <w:tr w:rsidR="00111483" w14:paraId="48C6DA27" w14:textId="77777777" w:rsidTr="004444CB">
              <w:trPr>
                <w:trHeight w:val="752"/>
              </w:trPr>
              <w:tc>
                <w:tcPr>
                  <w:tcW w:w="861" w:type="dxa"/>
                  <w:vAlign w:val="center"/>
                </w:tcPr>
                <w:p w14:paraId="0ED62FC3" w14:textId="77777777" w:rsidR="00111483" w:rsidRDefault="00111483" w:rsidP="00111483">
                  <w:pPr>
                    <w:jc w:val="center"/>
                    <w:rPr>
                      <w:sz w:val="22"/>
                      <w:szCs w:val="22"/>
                    </w:rPr>
                  </w:pPr>
                </w:p>
                <w:p w14:paraId="49F30CCD" w14:textId="77777777" w:rsidR="00111483" w:rsidRDefault="00111483" w:rsidP="00111483">
                  <w:pPr>
                    <w:jc w:val="center"/>
                    <w:rPr>
                      <w:sz w:val="22"/>
                      <w:szCs w:val="22"/>
                    </w:rPr>
                  </w:pPr>
                  <w:r>
                    <w:rPr>
                      <w:sz w:val="22"/>
                      <w:szCs w:val="22"/>
                    </w:rPr>
                    <w:t>10.7.</w:t>
                  </w:r>
                </w:p>
              </w:tc>
              <w:tc>
                <w:tcPr>
                  <w:tcW w:w="4946" w:type="dxa"/>
                  <w:vMerge/>
                  <w:vAlign w:val="center"/>
                  <w:hideMark/>
                </w:tcPr>
                <w:p w14:paraId="0C3F00D3" w14:textId="77777777" w:rsidR="00111483" w:rsidRDefault="00111483" w:rsidP="00111483">
                  <w:pPr>
                    <w:rPr>
                      <w:sz w:val="22"/>
                      <w:szCs w:val="22"/>
                    </w:rPr>
                  </w:pPr>
                </w:p>
              </w:tc>
              <w:tc>
                <w:tcPr>
                  <w:tcW w:w="1701" w:type="dxa"/>
                  <w:vAlign w:val="center"/>
                  <w:hideMark/>
                </w:tcPr>
                <w:p w14:paraId="680F44CA" w14:textId="77777777" w:rsidR="00111483" w:rsidRDefault="00111483" w:rsidP="00111483">
                  <w:pPr>
                    <w:jc w:val="center"/>
                    <w:rPr>
                      <w:sz w:val="22"/>
                      <w:szCs w:val="22"/>
                    </w:rPr>
                  </w:pPr>
                  <w:r>
                    <w:rPr>
                      <w:sz w:val="22"/>
                      <w:szCs w:val="22"/>
                    </w:rPr>
                    <w:t>FS-04-05</w:t>
                  </w:r>
                </w:p>
              </w:tc>
              <w:tc>
                <w:tcPr>
                  <w:tcW w:w="1701" w:type="dxa"/>
                  <w:vAlign w:val="center"/>
                  <w:hideMark/>
                </w:tcPr>
                <w:p w14:paraId="2CCEE4AE" w14:textId="77777777" w:rsidR="00111483" w:rsidRDefault="00111483" w:rsidP="00111483">
                  <w:pPr>
                    <w:jc w:val="center"/>
                    <w:rPr>
                      <w:sz w:val="22"/>
                      <w:szCs w:val="22"/>
                    </w:rPr>
                  </w:pPr>
                  <w:r>
                    <w:rPr>
                      <w:sz w:val="22"/>
                      <w:szCs w:val="22"/>
                    </w:rPr>
                    <w:t>-</w:t>
                  </w:r>
                </w:p>
              </w:tc>
              <w:tc>
                <w:tcPr>
                  <w:tcW w:w="5166" w:type="dxa"/>
                  <w:vAlign w:val="center"/>
                  <w:hideMark/>
                </w:tcPr>
                <w:p w14:paraId="1827C540" w14:textId="77777777" w:rsidR="00111483" w:rsidRDefault="00111483" w:rsidP="00111483">
                  <w:pPr>
                    <w:jc w:val="center"/>
                    <w:rPr>
                      <w:sz w:val="22"/>
                      <w:szCs w:val="22"/>
                    </w:rPr>
                  </w:pPr>
                  <w:r>
                    <w:rPr>
                      <w:sz w:val="22"/>
                      <w:szCs w:val="22"/>
                    </w:rPr>
                    <w:t>Fiksuotoji suma už laikiną žvejybos ribojimą statomaisiais (žiauniniais) tinklais Baltijos jūros priekrantėje, kai įmonė anksčiau lapkričio–kovo mėn. vidutiniškai žvejojo nuo 209 iki 455 val., be PVM</w:t>
                  </w:r>
                </w:p>
              </w:tc>
            </w:tr>
            <w:tr w:rsidR="00111483" w14:paraId="2EC56A48" w14:textId="77777777" w:rsidTr="004444CB">
              <w:trPr>
                <w:trHeight w:val="752"/>
              </w:trPr>
              <w:tc>
                <w:tcPr>
                  <w:tcW w:w="861" w:type="dxa"/>
                  <w:vAlign w:val="center"/>
                </w:tcPr>
                <w:p w14:paraId="0FABE2F6" w14:textId="77777777" w:rsidR="00111483" w:rsidRDefault="00111483" w:rsidP="00111483">
                  <w:pPr>
                    <w:jc w:val="center"/>
                    <w:rPr>
                      <w:sz w:val="22"/>
                      <w:szCs w:val="22"/>
                    </w:rPr>
                  </w:pPr>
                </w:p>
                <w:p w14:paraId="502EB435" w14:textId="77777777" w:rsidR="00111483" w:rsidRDefault="00111483" w:rsidP="00111483">
                  <w:pPr>
                    <w:jc w:val="center"/>
                    <w:rPr>
                      <w:sz w:val="22"/>
                      <w:szCs w:val="22"/>
                    </w:rPr>
                  </w:pPr>
                  <w:r>
                    <w:rPr>
                      <w:sz w:val="22"/>
                      <w:szCs w:val="22"/>
                    </w:rPr>
                    <w:t>10.8.</w:t>
                  </w:r>
                </w:p>
              </w:tc>
              <w:tc>
                <w:tcPr>
                  <w:tcW w:w="4946" w:type="dxa"/>
                  <w:vMerge/>
                  <w:vAlign w:val="center"/>
                  <w:hideMark/>
                </w:tcPr>
                <w:p w14:paraId="2AC441FA" w14:textId="77777777" w:rsidR="00111483" w:rsidRDefault="00111483" w:rsidP="00111483">
                  <w:pPr>
                    <w:rPr>
                      <w:sz w:val="22"/>
                      <w:szCs w:val="22"/>
                    </w:rPr>
                  </w:pPr>
                </w:p>
              </w:tc>
              <w:tc>
                <w:tcPr>
                  <w:tcW w:w="1701" w:type="dxa"/>
                  <w:vAlign w:val="center"/>
                  <w:hideMark/>
                </w:tcPr>
                <w:p w14:paraId="4623DCCD" w14:textId="77777777" w:rsidR="00111483" w:rsidRDefault="00111483" w:rsidP="00111483">
                  <w:pPr>
                    <w:jc w:val="center"/>
                    <w:rPr>
                      <w:sz w:val="22"/>
                      <w:szCs w:val="22"/>
                    </w:rPr>
                  </w:pPr>
                  <w:r>
                    <w:rPr>
                      <w:sz w:val="22"/>
                      <w:szCs w:val="22"/>
                    </w:rPr>
                    <w:t>FS-04-06</w:t>
                  </w:r>
                </w:p>
              </w:tc>
              <w:tc>
                <w:tcPr>
                  <w:tcW w:w="1701" w:type="dxa"/>
                  <w:vAlign w:val="center"/>
                  <w:hideMark/>
                </w:tcPr>
                <w:p w14:paraId="68DA7B2A" w14:textId="77777777" w:rsidR="00111483" w:rsidRDefault="00111483" w:rsidP="00111483">
                  <w:pPr>
                    <w:jc w:val="center"/>
                    <w:rPr>
                      <w:sz w:val="22"/>
                      <w:szCs w:val="22"/>
                    </w:rPr>
                  </w:pPr>
                  <w:r>
                    <w:rPr>
                      <w:sz w:val="22"/>
                      <w:szCs w:val="22"/>
                    </w:rPr>
                    <w:t>-</w:t>
                  </w:r>
                </w:p>
              </w:tc>
              <w:tc>
                <w:tcPr>
                  <w:tcW w:w="5166" w:type="dxa"/>
                  <w:vAlign w:val="center"/>
                  <w:hideMark/>
                </w:tcPr>
                <w:p w14:paraId="20B3DA2B" w14:textId="77777777" w:rsidR="00111483" w:rsidRDefault="00111483" w:rsidP="00111483">
                  <w:pPr>
                    <w:jc w:val="center"/>
                    <w:rPr>
                      <w:sz w:val="22"/>
                      <w:szCs w:val="22"/>
                    </w:rPr>
                  </w:pPr>
                  <w:r>
                    <w:rPr>
                      <w:sz w:val="22"/>
                      <w:szCs w:val="22"/>
                    </w:rPr>
                    <w:t>Fiksuotoji suma už laikiną žvejybos ribojimą statomaisiais (žiauniniais) tinklais Baltijos jūros priekrantėje, kai įmonė anksčiau lapkričio–kovo mėn. vidutiniškai žvejojo nuo 209 iki 455 val., su PVM</w:t>
                  </w:r>
                </w:p>
              </w:tc>
            </w:tr>
            <w:tr w:rsidR="00111483" w14:paraId="549A013A" w14:textId="77777777" w:rsidTr="004444CB">
              <w:trPr>
                <w:trHeight w:val="752"/>
              </w:trPr>
              <w:tc>
                <w:tcPr>
                  <w:tcW w:w="861" w:type="dxa"/>
                  <w:vAlign w:val="center"/>
                </w:tcPr>
                <w:p w14:paraId="668B0AA5" w14:textId="77777777" w:rsidR="00111483" w:rsidRDefault="00111483" w:rsidP="00111483">
                  <w:pPr>
                    <w:jc w:val="center"/>
                    <w:rPr>
                      <w:sz w:val="22"/>
                      <w:szCs w:val="22"/>
                    </w:rPr>
                  </w:pPr>
                  <w:r>
                    <w:rPr>
                      <w:sz w:val="22"/>
                      <w:szCs w:val="22"/>
                    </w:rPr>
                    <w:lastRenderedPageBreak/>
                    <w:t>10.9.</w:t>
                  </w:r>
                </w:p>
              </w:tc>
              <w:tc>
                <w:tcPr>
                  <w:tcW w:w="4946" w:type="dxa"/>
                  <w:vMerge/>
                  <w:vAlign w:val="center"/>
                </w:tcPr>
                <w:p w14:paraId="7F244882" w14:textId="77777777" w:rsidR="00111483" w:rsidRDefault="00111483" w:rsidP="00111483">
                  <w:pPr>
                    <w:rPr>
                      <w:sz w:val="22"/>
                      <w:szCs w:val="22"/>
                    </w:rPr>
                  </w:pPr>
                </w:p>
              </w:tc>
              <w:tc>
                <w:tcPr>
                  <w:tcW w:w="1701" w:type="dxa"/>
                  <w:vAlign w:val="center"/>
                </w:tcPr>
                <w:p w14:paraId="2DFEAB00" w14:textId="77777777" w:rsidR="00111483" w:rsidRDefault="00111483" w:rsidP="00111483">
                  <w:pPr>
                    <w:jc w:val="center"/>
                    <w:rPr>
                      <w:sz w:val="22"/>
                      <w:szCs w:val="22"/>
                    </w:rPr>
                  </w:pPr>
                  <w:r>
                    <w:rPr>
                      <w:sz w:val="22"/>
                      <w:szCs w:val="22"/>
                    </w:rPr>
                    <w:t>FS-04-07</w:t>
                  </w:r>
                </w:p>
              </w:tc>
              <w:tc>
                <w:tcPr>
                  <w:tcW w:w="1701" w:type="dxa"/>
                  <w:vAlign w:val="center"/>
                </w:tcPr>
                <w:p w14:paraId="1DF2D793" w14:textId="77777777" w:rsidR="00111483" w:rsidRDefault="00111483" w:rsidP="00111483">
                  <w:pPr>
                    <w:jc w:val="center"/>
                    <w:rPr>
                      <w:sz w:val="22"/>
                      <w:szCs w:val="22"/>
                    </w:rPr>
                  </w:pPr>
                  <w:r>
                    <w:rPr>
                      <w:sz w:val="22"/>
                      <w:szCs w:val="22"/>
                    </w:rPr>
                    <w:t>-</w:t>
                  </w:r>
                </w:p>
              </w:tc>
              <w:tc>
                <w:tcPr>
                  <w:tcW w:w="5166" w:type="dxa"/>
                  <w:vAlign w:val="center"/>
                </w:tcPr>
                <w:p w14:paraId="0844DB34" w14:textId="77777777" w:rsidR="00111483" w:rsidRDefault="00111483" w:rsidP="00111483">
                  <w:pPr>
                    <w:jc w:val="center"/>
                    <w:rPr>
                      <w:sz w:val="22"/>
                      <w:szCs w:val="22"/>
                    </w:rPr>
                  </w:pPr>
                  <w:r>
                    <w:rPr>
                      <w:sz w:val="22"/>
                      <w:szCs w:val="22"/>
                    </w:rPr>
                    <w:t>Fiksuotoji suma už laikiną žvejybos ribojimą statomaisiais (žiauniniais) tinklais Baltijos jūros priekrantėje, kai įmonė anksčiau lapkričio–kovo mėn. vidutiniškai žvejojo nuo 456 iki 914 val., be PVM</w:t>
                  </w:r>
                </w:p>
              </w:tc>
            </w:tr>
            <w:tr w:rsidR="00111483" w14:paraId="106F1D68" w14:textId="77777777" w:rsidTr="004444CB">
              <w:trPr>
                <w:trHeight w:val="752"/>
              </w:trPr>
              <w:tc>
                <w:tcPr>
                  <w:tcW w:w="861" w:type="dxa"/>
                  <w:vAlign w:val="center"/>
                </w:tcPr>
                <w:p w14:paraId="332DF5C6" w14:textId="77777777" w:rsidR="00111483" w:rsidRDefault="00111483" w:rsidP="00111483">
                  <w:pPr>
                    <w:jc w:val="center"/>
                    <w:rPr>
                      <w:sz w:val="22"/>
                      <w:szCs w:val="22"/>
                    </w:rPr>
                  </w:pPr>
                  <w:r>
                    <w:rPr>
                      <w:sz w:val="22"/>
                      <w:szCs w:val="22"/>
                    </w:rPr>
                    <w:t>10.10.</w:t>
                  </w:r>
                </w:p>
              </w:tc>
              <w:tc>
                <w:tcPr>
                  <w:tcW w:w="4946" w:type="dxa"/>
                  <w:vMerge/>
                  <w:vAlign w:val="center"/>
                </w:tcPr>
                <w:p w14:paraId="053A6F65" w14:textId="77777777" w:rsidR="00111483" w:rsidRDefault="00111483" w:rsidP="00111483">
                  <w:pPr>
                    <w:rPr>
                      <w:sz w:val="22"/>
                      <w:szCs w:val="22"/>
                    </w:rPr>
                  </w:pPr>
                </w:p>
              </w:tc>
              <w:tc>
                <w:tcPr>
                  <w:tcW w:w="1701" w:type="dxa"/>
                  <w:vAlign w:val="center"/>
                </w:tcPr>
                <w:p w14:paraId="2DD02D97" w14:textId="77777777" w:rsidR="00111483" w:rsidRDefault="00111483" w:rsidP="00111483">
                  <w:pPr>
                    <w:jc w:val="center"/>
                    <w:rPr>
                      <w:sz w:val="22"/>
                      <w:szCs w:val="22"/>
                    </w:rPr>
                  </w:pPr>
                  <w:r>
                    <w:rPr>
                      <w:sz w:val="22"/>
                      <w:szCs w:val="22"/>
                    </w:rPr>
                    <w:t>FS-04-08</w:t>
                  </w:r>
                </w:p>
              </w:tc>
              <w:tc>
                <w:tcPr>
                  <w:tcW w:w="1701" w:type="dxa"/>
                  <w:vAlign w:val="center"/>
                </w:tcPr>
                <w:p w14:paraId="2671C0AA" w14:textId="77777777" w:rsidR="00111483" w:rsidRDefault="00111483" w:rsidP="00111483">
                  <w:pPr>
                    <w:jc w:val="center"/>
                    <w:rPr>
                      <w:sz w:val="22"/>
                      <w:szCs w:val="22"/>
                    </w:rPr>
                  </w:pPr>
                  <w:r>
                    <w:rPr>
                      <w:sz w:val="22"/>
                      <w:szCs w:val="22"/>
                    </w:rPr>
                    <w:t>-</w:t>
                  </w:r>
                </w:p>
              </w:tc>
              <w:tc>
                <w:tcPr>
                  <w:tcW w:w="5166" w:type="dxa"/>
                  <w:vAlign w:val="center"/>
                </w:tcPr>
                <w:p w14:paraId="74F9062F" w14:textId="77777777" w:rsidR="00111483" w:rsidRDefault="00111483" w:rsidP="00111483">
                  <w:pPr>
                    <w:jc w:val="center"/>
                    <w:rPr>
                      <w:sz w:val="22"/>
                      <w:szCs w:val="22"/>
                    </w:rPr>
                  </w:pPr>
                  <w:r>
                    <w:rPr>
                      <w:sz w:val="22"/>
                      <w:szCs w:val="22"/>
                    </w:rPr>
                    <w:t>Fiksuotoji suma už laikiną žvejybos ribojimą statomaisiais (žiauniniais) tinklais Baltijos jūros priekrantėje, kai įmonė anksčiau lapkričio–kovo mėn. vidutiniškai žvejojo nuo 456 iki 914 val., su PVM</w:t>
                  </w:r>
                </w:p>
              </w:tc>
            </w:tr>
            <w:tr w:rsidR="00111483" w14:paraId="708A41FD" w14:textId="77777777" w:rsidTr="004444CB">
              <w:trPr>
                <w:trHeight w:val="752"/>
              </w:trPr>
              <w:tc>
                <w:tcPr>
                  <w:tcW w:w="861" w:type="dxa"/>
                  <w:vAlign w:val="center"/>
                </w:tcPr>
                <w:p w14:paraId="11C7DAA7" w14:textId="77777777" w:rsidR="00111483" w:rsidRDefault="00111483" w:rsidP="00111483">
                  <w:pPr>
                    <w:jc w:val="center"/>
                    <w:rPr>
                      <w:sz w:val="22"/>
                      <w:szCs w:val="22"/>
                    </w:rPr>
                  </w:pPr>
                </w:p>
                <w:p w14:paraId="3B1BF12A" w14:textId="77777777" w:rsidR="00111483" w:rsidRDefault="00111483" w:rsidP="00111483">
                  <w:pPr>
                    <w:jc w:val="center"/>
                    <w:rPr>
                      <w:sz w:val="22"/>
                      <w:szCs w:val="22"/>
                    </w:rPr>
                  </w:pPr>
                  <w:r>
                    <w:rPr>
                      <w:sz w:val="22"/>
                      <w:szCs w:val="22"/>
                    </w:rPr>
                    <w:t>10.11.</w:t>
                  </w:r>
                </w:p>
              </w:tc>
              <w:tc>
                <w:tcPr>
                  <w:tcW w:w="4946" w:type="dxa"/>
                  <w:vMerge/>
                  <w:vAlign w:val="center"/>
                </w:tcPr>
                <w:p w14:paraId="39FFB073" w14:textId="77777777" w:rsidR="00111483" w:rsidRDefault="00111483" w:rsidP="00111483">
                  <w:pPr>
                    <w:rPr>
                      <w:sz w:val="22"/>
                      <w:szCs w:val="22"/>
                    </w:rPr>
                  </w:pPr>
                </w:p>
              </w:tc>
              <w:tc>
                <w:tcPr>
                  <w:tcW w:w="1701" w:type="dxa"/>
                  <w:vAlign w:val="center"/>
                </w:tcPr>
                <w:p w14:paraId="2120FD9A" w14:textId="77777777" w:rsidR="00111483" w:rsidRDefault="00111483" w:rsidP="00111483">
                  <w:pPr>
                    <w:jc w:val="center"/>
                    <w:rPr>
                      <w:sz w:val="22"/>
                      <w:szCs w:val="22"/>
                    </w:rPr>
                  </w:pPr>
                  <w:r>
                    <w:rPr>
                      <w:sz w:val="22"/>
                      <w:szCs w:val="22"/>
                    </w:rPr>
                    <w:t>FS-04-09</w:t>
                  </w:r>
                </w:p>
              </w:tc>
              <w:tc>
                <w:tcPr>
                  <w:tcW w:w="1701" w:type="dxa"/>
                  <w:vAlign w:val="center"/>
                </w:tcPr>
                <w:p w14:paraId="09ADBDE9" w14:textId="77777777" w:rsidR="00111483" w:rsidRDefault="00111483" w:rsidP="00111483">
                  <w:pPr>
                    <w:jc w:val="center"/>
                    <w:rPr>
                      <w:sz w:val="22"/>
                      <w:szCs w:val="22"/>
                    </w:rPr>
                  </w:pPr>
                  <w:r>
                    <w:rPr>
                      <w:sz w:val="22"/>
                      <w:szCs w:val="22"/>
                    </w:rPr>
                    <w:t>-</w:t>
                  </w:r>
                </w:p>
              </w:tc>
              <w:tc>
                <w:tcPr>
                  <w:tcW w:w="5166" w:type="dxa"/>
                  <w:vAlign w:val="center"/>
                </w:tcPr>
                <w:p w14:paraId="695B59A0" w14:textId="77777777" w:rsidR="00111483" w:rsidRDefault="00111483" w:rsidP="00111483">
                  <w:pPr>
                    <w:jc w:val="center"/>
                    <w:rPr>
                      <w:sz w:val="22"/>
                      <w:szCs w:val="22"/>
                    </w:rPr>
                  </w:pPr>
                  <w:r>
                    <w:rPr>
                      <w:sz w:val="22"/>
                      <w:szCs w:val="22"/>
                    </w:rPr>
                    <w:t>Fiksuotoji suma už laikiną žvejybos ribojimą statomaisiais (žiauniniais) tinklais Baltijos jūros priekrantėje, kai įmonė anksčiau lapkričio–kovo mėn. vidutiniškai žvejojo nuo 915 iki 1759  val., be PVM</w:t>
                  </w:r>
                </w:p>
              </w:tc>
            </w:tr>
            <w:tr w:rsidR="00111483" w14:paraId="28ADDD70" w14:textId="77777777" w:rsidTr="004444CB">
              <w:trPr>
                <w:trHeight w:val="752"/>
              </w:trPr>
              <w:tc>
                <w:tcPr>
                  <w:tcW w:w="861" w:type="dxa"/>
                  <w:vAlign w:val="center"/>
                </w:tcPr>
                <w:p w14:paraId="03127236" w14:textId="77777777" w:rsidR="00111483" w:rsidRDefault="00111483" w:rsidP="00111483">
                  <w:pPr>
                    <w:jc w:val="center"/>
                    <w:rPr>
                      <w:sz w:val="22"/>
                      <w:szCs w:val="22"/>
                    </w:rPr>
                  </w:pPr>
                </w:p>
                <w:p w14:paraId="75B43949" w14:textId="77777777" w:rsidR="00111483" w:rsidRDefault="00111483" w:rsidP="00111483">
                  <w:pPr>
                    <w:jc w:val="center"/>
                    <w:rPr>
                      <w:sz w:val="22"/>
                      <w:szCs w:val="22"/>
                    </w:rPr>
                  </w:pPr>
                  <w:r>
                    <w:rPr>
                      <w:sz w:val="22"/>
                      <w:szCs w:val="22"/>
                    </w:rPr>
                    <w:t>10.12.</w:t>
                  </w:r>
                </w:p>
              </w:tc>
              <w:tc>
                <w:tcPr>
                  <w:tcW w:w="4946" w:type="dxa"/>
                  <w:vMerge/>
                  <w:vAlign w:val="center"/>
                </w:tcPr>
                <w:p w14:paraId="1E06A427" w14:textId="77777777" w:rsidR="00111483" w:rsidRDefault="00111483" w:rsidP="00111483">
                  <w:pPr>
                    <w:rPr>
                      <w:sz w:val="22"/>
                      <w:szCs w:val="22"/>
                    </w:rPr>
                  </w:pPr>
                </w:p>
              </w:tc>
              <w:tc>
                <w:tcPr>
                  <w:tcW w:w="1701" w:type="dxa"/>
                  <w:vAlign w:val="center"/>
                </w:tcPr>
                <w:p w14:paraId="7FD435AB" w14:textId="77777777" w:rsidR="00111483" w:rsidRDefault="00111483" w:rsidP="00111483">
                  <w:pPr>
                    <w:jc w:val="center"/>
                    <w:rPr>
                      <w:sz w:val="22"/>
                      <w:szCs w:val="22"/>
                    </w:rPr>
                  </w:pPr>
                  <w:r>
                    <w:rPr>
                      <w:sz w:val="22"/>
                      <w:szCs w:val="22"/>
                    </w:rPr>
                    <w:t>FS-04-10</w:t>
                  </w:r>
                </w:p>
              </w:tc>
              <w:tc>
                <w:tcPr>
                  <w:tcW w:w="1701" w:type="dxa"/>
                  <w:vAlign w:val="center"/>
                </w:tcPr>
                <w:p w14:paraId="0B1BE898" w14:textId="77777777" w:rsidR="00111483" w:rsidRDefault="00111483" w:rsidP="00111483">
                  <w:pPr>
                    <w:jc w:val="center"/>
                    <w:rPr>
                      <w:sz w:val="22"/>
                      <w:szCs w:val="22"/>
                    </w:rPr>
                  </w:pPr>
                  <w:r>
                    <w:rPr>
                      <w:sz w:val="22"/>
                      <w:szCs w:val="22"/>
                    </w:rPr>
                    <w:t>-</w:t>
                  </w:r>
                </w:p>
              </w:tc>
              <w:tc>
                <w:tcPr>
                  <w:tcW w:w="5166" w:type="dxa"/>
                  <w:vAlign w:val="center"/>
                </w:tcPr>
                <w:p w14:paraId="48B6D248" w14:textId="77777777" w:rsidR="00111483" w:rsidRDefault="00111483" w:rsidP="00111483">
                  <w:pPr>
                    <w:jc w:val="center"/>
                    <w:rPr>
                      <w:sz w:val="22"/>
                      <w:szCs w:val="22"/>
                    </w:rPr>
                  </w:pPr>
                  <w:r>
                    <w:rPr>
                      <w:sz w:val="22"/>
                      <w:szCs w:val="22"/>
                    </w:rPr>
                    <w:t>Fiksuotoji suma už laikiną žvejybos ribojimą statomaisiais (žiauniniais) tinklais Baltijos jūros priekrantėje, kai įmonė anksčiau lapkričio–kovo mėn. vidutiniškai žvejojo nuo 915 iki 1759 val., su PVM</w:t>
                  </w:r>
                </w:p>
              </w:tc>
            </w:tr>
            <w:tr w:rsidR="00111483" w14:paraId="669E1C51" w14:textId="77777777" w:rsidTr="004444CB">
              <w:trPr>
                <w:trHeight w:val="752"/>
              </w:trPr>
              <w:tc>
                <w:tcPr>
                  <w:tcW w:w="861" w:type="dxa"/>
                  <w:vAlign w:val="center"/>
                </w:tcPr>
                <w:p w14:paraId="3114DDE4" w14:textId="77777777" w:rsidR="00111483" w:rsidRDefault="00111483" w:rsidP="00111483">
                  <w:pPr>
                    <w:jc w:val="center"/>
                    <w:rPr>
                      <w:sz w:val="22"/>
                      <w:szCs w:val="22"/>
                    </w:rPr>
                  </w:pPr>
                </w:p>
                <w:p w14:paraId="08914341" w14:textId="77777777" w:rsidR="00111483" w:rsidRDefault="00111483" w:rsidP="00111483">
                  <w:pPr>
                    <w:jc w:val="center"/>
                    <w:rPr>
                      <w:sz w:val="22"/>
                      <w:szCs w:val="22"/>
                    </w:rPr>
                  </w:pPr>
                  <w:r>
                    <w:rPr>
                      <w:sz w:val="22"/>
                      <w:szCs w:val="22"/>
                    </w:rPr>
                    <w:t>10.13.</w:t>
                  </w:r>
                </w:p>
              </w:tc>
              <w:tc>
                <w:tcPr>
                  <w:tcW w:w="4946" w:type="dxa"/>
                  <w:vMerge/>
                  <w:vAlign w:val="center"/>
                </w:tcPr>
                <w:p w14:paraId="47CDDCC5" w14:textId="77777777" w:rsidR="00111483" w:rsidRDefault="00111483" w:rsidP="00111483">
                  <w:pPr>
                    <w:rPr>
                      <w:sz w:val="22"/>
                      <w:szCs w:val="22"/>
                    </w:rPr>
                  </w:pPr>
                </w:p>
              </w:tc>
              <w:tc>
                <w:tcPr>
                  <w:tcW w:w="1701" w:type="dxa"/>
                  <w:vAlign w:val="center"/>
                </w:tcPr>
                <w:p w14:paraId="3F9B4855" w14:textId="77777777" w:rsidR="00111483" w:rsidRDefault="00111483" w:rsidP="00111483">
                  <w:pPr>
                    <w:jc w:val="center"/>
                    <w:rPr>
                      <w:sz w:val="22"/>
                      <w:szCs w:val="22"/>
                    </w:rPr>
                  </w:pPr>
                  <w:r>
                    <w:rPr>
                      <w:sz w:val="22"/>
                      <w:szCs w:val="22"/>
                    </w:rPr>
                    <w:t>FS-04-11</w:t>
                  </w:r>
                </w:p>
              </w:tc>
              <w:tc>
                <w:tcPr>
                  <w:tcW w:w="1701" w:type="dxa"/>
                  <w:vAlign w:val="center"/>
                </w:tcPr>
                <w:p w14:paraId="4332CBC1" w14:textId="77777777" w:rsidR="00111483" w:rsidRDefault="00111483" w:rsidP="00111483">
                  <w:pPr>
                    <w:jc w:val="center"/>
                    <w:rPr>
                      <w:sz w:val="22"/>
                      <w:szCs w:val="22"/>
                    </w:rPr>
                  </w:pPr>
                  <w:r>
                    <w:rPr>
                      <w:sz w:val="22"/>
                      <w:szCs w:val="22"/>
                    </w:rPr>
                    <w:t>-</w:t>
                  </w:r>
                </w:p>
              </w:tc>
              <w:tc>
                <w:tcPr>
                  <w:tcW w:w="5166" w:type="dxa"/>
                  <w:vAlign w:val="center"/>
                </w:tcPr>
                <w:p w14:paraId="0EBF9404" w14:textId="77777777" w:rsidR="00111483" w:rsidRDefault="00111483" w:rsidP="00111483">
                  <w:pPr>
                    <w:jc w:val="center"/>
                    <w:rPr>
                      <w:sz w:val="22"/>
                      <w:szCs w:val="22"/>
                    </w:rPr>
                  </w:pPr>
                  <w:r>
                    <w:rPr>
                      <w:sz w:val="22"/>
                      <w:szCs w:val="22"/>
                    </w:rPr>
                    <w:t>Fiksuotoji suma už laikiną žvejybos ribojimą statomaisiais (žiauniniais) tinklais Baltijos jūros priekrantėje, kai įmonė anksčiau lapkričio–kovo mėn. vidutiniškai žvejojo nuo 1760 val. ir daugiau, be PVM</w:t>
                  </w:r>
                </w:p>
              </w:tc>
            </w:tr>
            <w:tr w:rsidR="00111483" w14:paraId="326FAF3E" w14:textId="77777777" w:rsidTr="004444CB">
              <w:trPr>
                <w:trHeight w:val="752"/>
              </w:trPr>
              <w:tc>
                <w:tcPr>
                  <w:tcW w:w="861" w:type="dxa"/>
                  <w:tcBorders>
                    <w:bottom w:val="single" w:sz="4" w:space="0" w:color="auto"/>
                  </w:tcBorders>
                </w:tcPr>
                <w:p w14:paraId="5AB13879" w14:textId="77777777" w:rsidR="00111483" w:rsidRDefault="00111483" w:rsidP="00111483">
                  <w:pPr>
                    <w:jc w:val="center"/>
                    <w:rPr>
                      <w:sz w:val="22"/>
                      <w:szCs w:val="22"/>
                    </w:rPr>
                  </w:pPr>
                </w:p>
                <w:p w14:paraId="5BD06D1F" w14:textId="77777777" w:rsidR="00111483" w:rsidRDefault="00111483" w:rsidP="00111483">
                  <w:pPr>
                    <w:jc w:val="center"/>
                    <w:rPr>
                      <w:sz w:val="22"/>
                      <w:szCs w:val="22"/>
                    </w:rPr>
                  </w:pPr>
                  <w:r>
                    <w:rPr>
                      <w:sz w:val="22"/>
                      <w:szCs w:val="22"/>
                    </w:rPr>
                    <w:t>10.14.</w:t>
                  </w:r>
                </w:p>
              </w:tc>
              <w:tc>
                <w:tcPr>
                  <w:tcW w:w="4946" w:type="dxa"/>
                  <w:vMerge/>
                  <w:tcBorders>
                    <w:bottom w:val="single" w:sz="4" w:space="0" w:color="auto"/>
                  </w:tcBorders>
                  <w:vAlign w:val="center"/>
                </w:tcPr>
                <w:p w14:paraId="65F71F11" w14:textId="77777777" w:rsidR="00111483" w:rsidRDefault="00111483" w:rsidP="00111483">
                  <w:pPr>
                    <w:rPr>
                      <w:sz w:val="22"/>
                      <w:szCs w:val="22"/>
                    </w:rPr>
                  </w:pPr>
                </w:p>
              </w:tc>
              <w:tc>
                <w:tcPr>
                  <w:tcW w:w="1701" w:type="dxa"/>
                  <w:tcBorders>
                    <w:bottom w:val="single" w:sz="4" w:space="0" w:color="auto"/>
                  </w:tcBorders>
                  <w:vAlign w:val="center"/>
                </w:tcPr>
                <w:p w14:paraId="546FC317" w14:textId="77777777" w:rsidR="00111483" w:rsidRDefault="00111483" w:rsidP="00111483">
                  <w:pPr>
                    <w:jc w:val="center"/>
                    <w:rPr>
                      <w:sz w:val="22"/>
                      <w:szCs w:val="22"/>
                    </w:rPr>
                  </w:pPr>
                  <w:r>
                    <w:rPr>
                      <w:sz w:val="22"/>
                      <w:szCs w:val="22"/>
                    </w:rPr>
                    <w:t>FS-04-12</w:t>
                  </w:r>
                </w:p>
              </w:tc>
              <w:tc>
                <w:tcPr>
                  <w:tcW w:w="1701" w:type="dxa"/>
                  <w:tcBorders>
                    <w:bottom w:val="single" w:sz="4" w:space="0" w:color="auto"/>
                  </w:tcBorders>
                  <w:vAlign w:val="center"/>
                </w:tcPr>
                <w:p w14:paraId="5E9C231E" w14:textId="77777777" w:rsidR="00111483" w:rsidRDefault="00111483" w:rsidP="00111483">
                  <w:pPr>
                    <w:jc w:val="center"/>
                    <w:rPr>
                      <w:sz w:val="22"/>
                      <w:szCs w:val="22"/>
                    </w:rPr>
                  </w:pPr>
                  <w:r>
                    <w:rPr>
                      <w:sz w:val="22"/>
                      <w:szCs w:val="22"/>
                    </w:rPr>
                    <w:t>-</w:t>
                  </w:r>
                </w:p>
              </w:tc>
              <w:tc>
                <w:tcPr>
                  <w:tcW w:w="5166" w:type="dxa"/>
                  <w:tcBorders>
                    <w:bottom w:val="single" w:sz="4" w:space="0" w:color="auto"/>
                  </w:tcBorders>
                  <w:vAlign w:val="center"/>
                </w:tcPr>
                <w:p w14:paraId="26FC26F8" w14:textId="77777777" w:rsidR="00111483" w:rsidRDefault="00111483" w:rsidP="00111483">
                  <w:pPr>
                    <w:jc w:val="center"/>
                    <w:rPr>
                      <w:sz w:val="22"/>
                      <w:szCs w:val="22"/>
                    </w:rPr>
                  </w:pPr>
                  <w:r>
                    <w:rPr>
                      <w:sz w:val="22"/>
                      <w:szCs w:val="22"/>
                    </w:rPr>
                    <w:t>Fiksuotoji suma už laikiną žvejybos ribojimą statomaisiais (žiauniniais) tinklais Baltijos jūros priekrantėje, kai įmonė anksčiau lapkričio–kovo mėn. vidutiniškai žvejojo nuo 1760 val. ir daugiau, su PVM</w:t>
                  </w:r>
                </w:p>
              </w:tc>
            </w:tr>
            <w:tr w:rsidR="00111483" w14:paraId="460C5A4A" w14:textId="77777777" w:rsidTr="004444CB">
              <w:trPr>
                <w:trHeight w:val="752"/>
              </w:trPr>
              <w:tc>
                <w:tcPr>
                  <w:tcW w:w="861" w:type="dxa"/>
                  <w:tcBorders>
                    <w:top w:val="single" w:sz="4" w:space="0" w:color="auto"/>
                    <w:bottom w:val="single" w:sz="4" w:space="0" w:color="auto"/>
                    <w:right w:val="single" w:sz="4" w:space="0" w:color="auto"/>
                  </w:tcBorders>
                  <w:vAlign w:val="center"/>
                </w:tcPr>
                <w:p w14:paraId="01A2AB61" w14:textId="77777777" w:rsidR="00111483" w:rsidRDefault="00111483" w:rsidP="00111483">
                  <w:pPr>
                    <w:jc w:val="center"/>
                    <w:rPr>
                      <w:sz w:val="22"/>
                      <w:szCs w:val="22"/>
                    </w:rPr>
                  </w:pPr>
                  <w:r>
                    <w:rPr>
                      <w:sz w:val="22"/>
                      <w:szCs w:val="22"/>
                    </w:rPr>
                    <w:t>10.15.</w:t>
                  </w:r>
                </w:p>
              </w:tc>
              <w:tc>
                <w:tcPr>
                  <w:tcW w:w="4946" w:type="dxa"/>
                  <w:tcBorders>
                    <w:top w:val="single" w:sz="4" w:space="0" w:color="auto"/>
                    <w:left w:val="single" w:sz="4" w:space="0" w:color="auto"/>
                    <w:bottom w:val="single" w:sz="4" w:space="0" w:color="auto"/>
                    <w:right w:val="single" w:sz="4" w:space="0" w:color="auto"/>
                  </w:tcBorders>
                  <w:vAlign w:val="center"/>
                </w:tcPr>
                <w:p w14:paraId="58955126" w14:textId="77777777" w:rsidR="00111483" w:rsidRDefault="00111483" w:rsidP="00111483">
                  <w:pPr>
                    <w:rPr>
                      <w:sz w:val="22"/>
                      <w:szCs w:val="22"/>
                    </w:rPr>
                  </w:pPr>
                  <w:r>
                    <w:rPr>
                      <w:sz w:val="22"/>
                      <w:szCs w:val="22"/>
                    </w:rPr>
                    <w:t>Fiksuotais įkainis nustatytas už papildomai patirtas darbo užmokesčio išlaidas, atsisakant įprastinės žvejybos statomaisiais tinklais ir žvejybos metu naudojant kitą žvejybos valdymo priemonę (įrankį) – žvejybą statomaisiais tinklais nakties metu.</w:t>
                  </w:r>
                </w:p>
              </w:tc>
              <w:tc>
                <w:tcPr>
                  <w:tcW w:w="1701" w:type="dxa"/>
                  <w:tcBorders>
                    <w:top w:val="single" w:sz="4" w:space="0" w:color="auto"/>
                    <w:left w:val="single" w:sz="4" w:space="0" w:color="auto"/>
                    <w:bottom w:val="single" w:sz="4" w:space="0" w:color="auto"/>
                    <w:right w:val="single" w:sz="4" w:space="0" w:color="auto"/>
                  </w:tcBorders>
                  <w:vAlign w:val="center"/>
                </w:tcPr>
                <w:p w14:paraId="7356FF63" w14:textId="77777777" w:rsidR="00111483" w:rsidRDefault="00111483" w:rsidP="00111483">
                  <w:pPr>
                    <w:jc w:val="center"/>
                    <w:rPr>
                      <w:sz w:val="22"/>
                      <w:szCs w:val="22"/>
                    </w:rPr>
                  </w:pPr>
                  <w:r>
                    <w:rPr>
                      <w:sz w:val="22"/>
                      <w:szCs w:val="22"/>
                    </w:rPr>
                    <w:t>FĮ-71-01</w:t>
                  </w:r>
                </w:p>
              </w:tc>
              <w:tc>
                <w:tcPr>
                  <w:tcW w:w="1701" w:type="dxa"/>
                  <w:tcBorders>
                    <w:top w:val="single" w:sz="4" w:space="0" w:color="auto"/>
                    <w:left w:val="single" w:sz="4" w:space="0" w:color="auto"/>
                    <w:bottom w:val="single" w:sz="4" w:space="0" w:color="auto"/>
                    <w:right w:val="single" w:sz="4" w:space="0" w:color="auto"/>
                  </w:tcBorders>
                  <w:vAlign w:val="center"/>
                </w:tcPr>
                <w:p w14:paraId="6B906370" w14:textId="77777777" w:rsidR="00111483" w:rsidRDefault="00111483" w:rsidP="00111483">
                  <w:pPr>
                    <w:jc w:val="center"/>
                    <w:rPr>
                      <w:sz w:val="22"/>
                      <w:szCs w:val="22"/>
                    </w:rPr>
                  </w:pPr>
                  <w:r>
                    <w:t>29,09</w:t>
                  </w:r>
                </w:p>
              </w:tc>
              <w:tc>
                <w:tcPr>
                  <w:tcW w:w="5166" w:type="dxa"/>
                  <w:tcBorders>
                    <w:top w:val="single" w:sz="4" w:space="0" w:color="auto"/>
                    <w:left w:val="single" w:sz="4" w:space="0" w:color="auto"/>
                    <w:bottom w:val="single" w:sz="4" w:space="0" w:color="auto"/>
                    <w:right w:val="single" w:sz="4" w:space="0" w:color="auto"/>
                  </w:tcBorders>
                  <w:vAlign w:val="center"/>
                </w:tcPr>
                <w:p w14:paraId="1D439DE0" w14:textId="77777777" w:rsidR="00111483" w:rsidRDefault="00111483" w:rsidP="00111483">
                  <w:pPr>
                    <w:jc w:val="center"/>
                    <w:rPr>
                      <w:sz w:val="22"/>
                      <w:szCs w:val="22"/>
                    </w:rPr>
                  </w:pPr>
                  <w:r>
                    <w:rPr>
                      <w:sz w:val="22"/>
                    </w:rPr>
                    <w:t>Fiksuotasis įkainis už žvejybą statomaisiais tinklais nakties (naktinės žvejybos tinklais atveju žvejybos žurnaluose turi būti fiksuojama, kad tinklai buvo statyti po saulėlydžio ir ištraukti iki saulėtekio) metu, už 1 žvejybos naktį</w:t>
                  </w:r>
                </w:p>
              </w:tc>
            </w:tr>
            <w:tr w:rsidR="00111483" w14:paraId="7BFE5C2C" w14:textId="77777777" w:rsidTr="004444CB">
              <w:trPr>
                <w:trHeight w:val="752"/>
              </w:trPr>
              <w:tc>
                <w:tcPr>
                  <w:tcW w:w="861" w:type="dxa"/>
                  <w:tcBorders>
                    <w:top w:val="single" w:sz="4" w:space="0" w:color="auto"/>
                    <w:bottom w:val="single" w:sz="4" w:space="0" w:color="auto"/>
                    <w:right w:val="single" w:sz="4" w:space="0" w:color="auto"/>
                  </w:tcBorders>
                  <w:vAlign w:val="center"/>
                </w:tcPr>
                <w:p w14:paraId="62F0A066" w14:textId="77777777" w:rsidR="00111483" w:rsidRDefault="00111483" w:rsidP="00111483">
                  <w:pPr>
                    <w:jc w:val="center"/>
                    <w:rPr>
                      <w:sz w:val="22"/>
                      <w:szCs w:val="22"/>
                    </w:rPr>
                  </w:pPr>
                  <w:r>
                    <w:rPr>
                      <w:sz w:val="22"/>
                      <w:szCs w:val="22"/>
                    </w:rPr>
                    <w:t>10.16.</w:t>
                  </w:r>
                </w:p>
              </w:tc>
              <w:tc>
                <w:tcPr>
                  <w:tcW w:w="4946" w:type="dxa"/>
                  <w:vMerge w:val="restart"/>
                  <w:tcBorders>
                    <w:top w:val="single" w:sz="4" w:space="0" w:color="auto"/>
                    <w:left w:val="single" w:sz="4" w:space="0" w:color="auto"/>
                    <w:bottom w:val="single" w:sz="4" w:space="0" w:color="auto"/>
                    <w:right w:val="single" w:sz="4" w:space="0" w:color="auto"/>
                  </w:tcBorders>
                  <w:vAlign w:val="center"/>
                </w:tcPr>
                <w:p w14:paraId="444648E3" w14:textId="77777777" w:rsidR="00111483" w:rsidRDefault="00111483" w:rsidP="00111483">
                  <w:pPr>
                    <w:rPr>
                      <w:sz w:val="22"/>
                      <w:szCs w:val="22"/>
                    </w:rPr>
                  </w:pPr>
                  <w:r>
                    <w:rPr>
                      <w:sz w:val="22"/>
                      <w:szCs w:val="22"/>
                    </w:rPr>
                    <w:t xml:space="preserve">Fiksuotais įkainis nustatytas už papildomai patirtas darbo užmokesčio išlaidas bei kuro jūroje išlaidas, atsisakant įprastinės žvejybos statomaisiais tinklais ir žvejybos metu naudojant kitą žvejybos valdymo </w:t>
                  </w:r>
                  <w:r>
                    <w:rPr>
                      <w:sz w:val="22"/>
                      <w:szCs w:val="22"/>
                    </w:rPr>
                    <w:lastRenderedPageBreak/>
                    <w:t>priemonę (įrankį) – žvejybą statomaisiais tinklais, kai kartu yra naudojami aitvarai.</w:t>
                  </w:r>
                </w:p>
              </w:tc>
              <w:tc>
                <w:tcPr>
                  <w:tcW w:w="1701" w:type="dxa"/>
                  <w:tcBorders>
                    <w:top w:val="single" w:sz="4" w:space="0" w:color="auto"/>
                    <w:left w:val="single" w:sz="4" w:space="0" w:color="auto"/>
                    <w:bottom w:val="single" w:sz="4" w:space="0" w:color="auto"/>
                    <w:right w:val="single" w:sz="4" w:space="0" w:color="auto"/>
                  </w:tcBorders>
                  <w:vAlign w:val="center"/>
                </w:tcPr>
                <w:p w14:paraId="57671284" w14:textId="77777777" w:rsidR="00111483" w:rsidRDefault="00111483" w:rsidP="00111483">
                  <w:pPr>
                    <w:jc w:val="center"/>
                    <w:rPr>
                      <w:sz w:val="22"/>
                      <w:szCs w:val="22"/>
                    </w:rPr>
                  </w:pPr>
                  <w:r>
                    <w:rPr>
                      <w:sz w:val="22"/>
                      <w:szCs w:val="22"/>
                    </w:rPr>
                    <w:lastRenderedPageBreak/>
                    <w:t>FĮ-71-02</w:t>
                  </w:r>
                </w:p>
              </w:tc>
              <w:tc>
                <w:tcPr>
                  <w:tcW w:w="1701" w:type="dxa"/>
                  <w:tcBorders>
                    <w:top w:val="single" w:sz="4" w:space="0" w:color="auto"/>
                    <w:left w:val="single" w:sz="4" w:space="0" w:color="auto"/>
                    <w:bottom w:val="single" w:sz="4" w:space="0" w:color="auto"/>
                    <w:right w:val="single" w:sz="4" w:space="0" w:color="auto"/>
                  </w:tcBorders>
                  <w:vAlign w:val="center"/>
                </w:tcPr>
                <w:p w14:paraId="283E3AEE" w14:textId="77777777" w:rsidR="00111483" w:rsidRDefault="00111483" w:rsidP="00111483">
                  <w:pPr>
                    <w:jc w:val="center"/>
                    <w:rPr>
                      <w:sz w:val="22"/>
                      <w:szCs w:val="22"/>
                    </w:rPr>
                  </w:pPr>
                  <w:r>
                    <w:t>1,16</w:t>
                  </w:r>
                </w:p>
              </w:tc>
              <w:tc>
                <w:tcPr>
                  <w:tcW w:w="5166" w:type="dxa"/>
                  <w:tcBorders>
                    <w:top w:val="single" w:sz="4" w:space="0" w:color="auto"/>
                    <w:left w:val="single" w:sz="4" w:space="0" w:color="auto"/>
                    <w:bottom w:val="single" w:sz="4" w:space="0" w:color="auto"/>
                    <w:right w:val="single" w:sz="4" w:space="0" w:color="auto"/>
                  </w:tcBorders>
                  <w:vAlign w:val="center"/>
                </w:tcPr>
                <w:p w14:paraId="7667824B" w14:textId="77777777" w:rsidR="00111483" w:rsidRDefault="00111483" w:rsidP="00111483">
                  <w:pPr>
                    <w:jc w:val="center"/>
                    <w:rPr>
                      <w:sz w:val="22"/>
                      <w:szCs w:val="22"/>
                    </w:rPr>
                  </w:pPr>
                  <w:r>
                    <w:rPr>
                      <w:sz w:val="22"/>
                    </w:rPr>
                    <w:t>Fiksuotasis įkainis už žvejybą statomaisiais tinklais, kai kartu yra naudojami aitvarai (plėšriuosius paukščius imituojantys aitvarai, tvirtinami ant bujų prie tinklų), už 1 unikalią valandą, be PVM</w:t>
                  </w:r>
                </w:p>
              </w:tc>
            </w:tr>
            <w:tr w:rsidR="00111483" w14:paraId="08FF0488" w14:textId="77777777" w:rsidTr="004444CB">
              <w:trPr>
                <w:trHeight w:val="752"/>
              </w:trPr>
              <w:tc>
                <w:tcPr>
                  <w:tcW w:w="861" w:type="dxa"/>
                  <w:tcBorders>
                    <w:top w:val="single" w:sz="4" w:space="0" w:color="auto"/>
                    <w:bottom w:val="single" w:sz="4" w:space="0" w:color="auto"/>
                    <w:right w:val="single" w:sz="4" w:space="0" w:color="auto"/>
                  </w:tcBorders>
                  <w:vAlign w:val="center"/>
                </w:tcPr>
                <w:p w14:paraId="6822F799" w14:textId="77777777" w:rsidR="00111483" w:rsidRDefault="00111483" w:rsidP="00111483">
                  <w:pPr>
                    <w:jc w:val="center"/>
                    <w:rPr>
                      <w:sz w:val="22"/>
                      <w:szCs w:val="22"/>
                    </w:rPr>
                  </w:pPr>
                  <w:r>
                    <w:rPr>
                      <w:sz w:val="22"/>
                      <w:szCs w:val="22"/>
                    </w:rPr>
                    <w:lastRenderedPageBreak/>
                    <w:t>10.17.</w:t>
                  </w:r>
                </w:p>
              </w:tc>
              <w:tc>
                <w:tcPr>
                  <w:tcW w:w="4946" w:type="dxa"/>
                  <w:vMerge/>
                  <w:tcBorders>
                    <w:top w:val="single" w:sz="4" w:space="0" w:color="auto"/>
                    <w:left w:val="single" w:sz="4" w:space="0" w:color="auto"/>
                    <w:bottom w:val="single" w:sz="4" w:space="0" w:color="auto"/>
                    <w:right w:val="single" w:sz="4" w:space="0" w:color="auto"/>
                  </w:tcBorders>
                  <w:vAlign w:val="center"/>
                </w:tcPr>
                <w:p w14:paraId="20818CEA" w14:textId="77777777" w:rsidR="00111483" w:rsidRDefault="00111483" w:rsidP="00111483">
                  <w:pP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507A8CD" w14:textId="77777777" w:rsidR="00111483" w:rsidRDefault="00111483" w:rsidP="00111483">
                  <w:pPr>
                    <w:jc w:val="center"/>
                    <w:rPr>
                      <w:sz w:val="22"/>
                      <w:szCs w:val="22"/>
                    </w:rPr>
                  </w:pPr>
                  <w:r>
                    <w:rPr>
                      <w:sz w:val="22"/>
                      <w:szCs w:val="22"/>
                    </w:rPr>
                    <w:t>FĮ-71-03</w:t>
                  </w:r>
                </w:p>
              </w:tc>
              <w:tc>
                <w:tcPr>
                  <w:tcW w:w="1701" w:type="dxa"/>
                  <w:tcBorders>
                    <w:top w:val="single" w:sz="4" w:space="0" w:color="auto"/>
                    <w:left w:val="single" w:sz="4" w:space="0" w:color="auto"/>
                    <w:bottom w:val="single" w:sz="4" w:space="0" w:color="auto"/>
                    <w:right w:val="single" w:sz="4" w:space="0" w:color="auto"/>
                  </w:tcBorders>
                  <w:vAlign w:val="center"/>
                </w:tcPr>
                <w:p w14:paraId="31E3985D" w14:textId="77777777" w:rsidR="00111483" w:rsidRDefault="00111483" w:rsidP="00111483">
                  <w:pPr>
                    <w:jc w:val="center"/>
                    <w:rPr>
                      <w:sz w:val="22"/>
                      <w:szCs w:val="22"/>
                    </w:rPr>
                  </w:pPr>
                  <w:r>
                    <w:t>1,19</w:t>
                  </w:r>
                </w:p>
              </w:tc>
              <w:tc>
                <w:tcPr>
                  <w:tcW w:w="5166" w:type="dxa"/>
                  <w:tcBorders>
                    <w:top w:val="single" w:sz="4" w:space="0" w:color="auto"/>
                    <w:left w:val="single" w:sz="4" w:space="0" w:color="auto"/>
                    <w:bottom w:val="single" w:sz="4" w:space="0" w:color="auto"/>
                    <w:right w:val="single" w:sz="4" w:space="0" w:color="auto"/>
                  </w:tcBorders>
                  <w:vAlign w:val="center"/>
                </w:tcPr>
                <w:p w14:paraId="0359041A" w14:textId="77777777" w:rsidR="00111483" w:rsidRDefault="00111483" w:rsidP="00111483">
                  <w:pPr>
                    <w:jc w:val="center"/>
                    <w:rPr>
                      <w:sz w:val="22"/>
                    </w:rPr>
                  </w:pPr>
                  <w:r>
                    <w:rPr>
                      <w:sz w:val="22"/>
                    </w:rPr>
                    <w:t>Fiksuotasis įkainis už žvejybą statomaisiais tinklais, kai kartu yra naudojami aitvarai (plėšriuosius paukščius imituojantys aitvarai, tvirtinami ant bujų prie tinklų), už 1 unikalią valandą, su PVM</w:t>
                  </w:r>
                </w:p>
              </w:tc>
            </w:tr>
            <w:tr w:rsidR="00111483" w14:paraId="34C2F9FF" w14:textId="77777777" w:rsidTr="004444CB">
              <w:trPr>
                <w:trHeight w:val="752"/>
              </w:trPr>
              <w:tc>
                <w:tcPr>
                  <w:tcW w:w="861" w:type="dxa"/>
                  <w:tcBorders>
                    <w:top w:val="single" w:sz="4" w:space="0" w:color="auto"/>
                    <w:bottom w:val="single" w:sz="4" w:space="0" w:color="auto"/>
                    <w:right w:val="single" w:sz="4" w:space="0" w:color="auto"/>
                  </w:tcBorders>
                  <w:vAlign w:val="center"/>
                </w:tcPr>
                <w:p w14:paraId="3A5D99E4" w14:textId="77777777" w:rsidR="00111483" w:rsidRDefault="00111483" w:rsidP="00111483">
                  <w:pPr>
                    <w:jc w:val="center"/>
                    <w:rPr>
                      <w:sz w:val="22"/>
                      <w:szCs w:val="22"/>
                    </w:rPr>
                  </w:pPr>
                  <w:r>
                    <w:rPr>
                      <w:sz w:val="22"/>
                      <w:szCs w:val="22"/>
                    </w:rPr>
                    <w:t>10.18.</w:t>
                  </w:r>
                </w:p>
              </w:tc>
              <w:tc>
                <w:tcPr>
                  <w:tcW w:w="4946" w:type="dxa"/>
                  <w:vMerge w:val="restart"/>
                  <w:tcBorders>
                    <w:top w:val="single" w:sz="4" w:space="0" w:color="auto"/>
                    <w:left w:val="single" w:sz="4" w:space="0" w:color="auto"/>
                    <w:bottom w:val="single" w:sz="4" w:space="0" w:color="auto"/>
                    <w:right w:val="single" w:sz="4" w:space="0" w:color="auto"/>
                  </w:tcBorders>
                  <w:vAlign w:val="center"/>
                </w:tcPr>
                <w:p w14:paraId="33E59A6B" w14:textId="77777777" w:rsidR="00111483" w:rsidRDefault="00111483" w:rsidP="00111483">
                  <w:pPr>
                    <w:rPr>
                      <w:sz w:val="22"/>
                      <w:szCs w:val="22"/>
                    </w:rPr>
                  </w:pPr>
                  <w:r>
                    <w:rPr>
                      <w:sz w:val="22"/>
                      <w:szCs w:val="22"/>
                    </w:rPr>
                    <w:t>Fiksuotais įkainis nustatytas už negautas pardavimo pajamas, atsisakant įprastinės žvejybos statomaisiais tinklais ir žvejybos metu naudojant kitą žvejybos valdymo priemonę (įrankį) – žvejybą tipinėmis su apsaugančiu įdėklu gaudyklėmis.</w:t>
                  </w:r>
                </w:p>
              </w:tc>
              <w:tc>
                <w:tcPr>
                  <w:tcW w:w="1701" w:type="dxa"/>
                  <w:tcBorders>
                    <w:top w:val="single" w:sz="4" w:space="0" w:color="auto"/>
                    <w:left w:val="single" w:sz="4" w:space="0" w:color="auto"/>
                    <w:bottom w:val="single" w:sz="4" w:space="0" w:color="auto"/>
                    <w:right w:val="single" w:sz="4" w:space="0" w:color="auto"/>
                  </w:tcBorders>
                  <w:vAlign w:val="center"/>
                </w:tcPr>
                <w:p w14:paraId="0A61C581" w14:textId="77777777" w:rsidR="00111483" w:rsidRDefault="00111483" w:rsidP="00111483">
                  <w:pPr>
                    <w:jc w:val="center"/>
                    <w:rPr>
                      <w:sz w:val="22"/>
                      <w:szCs w:val="22"/>
                    </w:rPr>
                  </w:pPr>
                  <w:r>
                    <w:rPr>
                      <w:sz w:val="22"/>
                      <w:szCs w:val="22"/>
                    </w:rPr>
                    <w:t>FĮ-71-04</w:t>
                  </w:r>
                </w:p>
              </w:tc>
              <w:tc>
                <w:tcPr>
                  <w:tcW w:w="1701" w:type="dxa"/>
                  <w:tcBorders>
                    <w:top w:val="single" w:sz="4" w:space="0" w:color="auto"/>
                    <w:left w:val="single" w:sz="4" w:space="0" w:color="auto"/>
                    <w:bottom w:val="single" w:sz="4" w:space="0" w:color="auto"/>
                    <w:right w:val="single" w:sz="4" w:space="0" w:color="auto"/>
                  </w:tcBorders>
                  <w:vAlign w:val="center"/>
                </w:tcPr>
                <w:p w14:paraId="63E2960A" w14:textId="77777777" w:rsidR="00111483" w:rsidRDefault="00111483" w:rsidP="00111483">
                  <w:pPr>
                    <w:jc w:val="center"/>
                    <w:rPr>
                      <w:sz w:val="22"/>
                      <w:szCs w:val="22"/>
                    </w:rPr>
                  </w:pPr>
                  <w:r>
                    <w:t>3,06</w:t>
                  </w:r>
                </w:p>
              </w:tc>
              <w:tc>
                <w:tcPr>
                  <w:tcW w:w="5166" w:type="dxa"/>
                  <w:tcBorders>
                    <w:top w:val="single" w:sz="4" w:space="0" w:color="auto"/>
                    <w:left w:val="single" w:sz="4" w:space="0" w:color="auto"/>
                    <w:bottom w:val="single" w:sz="4" w:space="0" w:color="auto"/>
                    <w:right w:val="single" w:sz="4" w:space="0" w:color="auto"/>
                  </w:tcBorders>
                  <w:vAlign w:val="center"/>
                </w:tcPr>
                <w:p w14:paraId="06A2F5F9" w14:textId="77777777" w:rsidR="00111483" w:rsidRDefault="00111483" w:rsidP="00111483">
                  <w:pPr>
                    <w:jc w:val="center"/>
                    <w:rPr>
                      <w:sz w:val="22"/>
                      <w:szCs w:val="22"/>
                    </w:rPr>
                  </w:pPr>
                  <w:r>
                    <w:rPr>
                      <w:sz w:val="22"/>
                    </w:rPr>
                    <w:t>Fiksuotasis įkainis už žvejybą tipinėmis gaudyklėmis su apsaugančiu įdėklu, už 1 unikalią valandą, be PVM</w:t>
                  </w:r>
                </w:p>
              </w:tc>
            </w:tr>
            <w:tr w:rsidR="00111483" w14:paraId="19361D0A" w14:textId="77777777" w:rsidTr="004444CB">
              <w:trPr>
                <w:trHeight w:val="752"/>
              </w:trPr>
              <w:tc>
                <w:tcPr>
                  <w:tcW w:w="861" w:type="dxa"/>
                  <w:tcBorders>
                    <w:top w:val="single" w:sz="4" w:space="0" w:color="auto"/>
                    <w:bottom w:val="single" w:sz="4" w:space="0" w:color="auto"/>
                    <w:right w:val="single" w:sz="4" w:space="0" w:color="auto"/>
                  </w:tcBorders>
                  <w:vAlign w:val="center"/>
                </w:tcPr>
                <w:p w14:paraId="36FD6961" w14:textId="77777777" w:rsidR="00111483" w:rsidRDefault="00111483" w:rsidP="00111483">
                  <w:pPr>
                    <w:jc w:val="center"/>
                    <w:rPr>
                      <w:sz w:val="22"/>
                      <w:szCs w:val="22"/>
                    </w:rPr>
                  </w:pPr>
                  <w:r>
                    <w:rPr>
                      <w:sz w:val="22"/>
                      <w:szCs w:val="22"/>
                    </w:rPr>
                    <w:t>10.19.</w:t>
                  </w:r>
                </w:p>
              </w:tc>
              <w:tc>
                <w:tcPr>
                  <w:tcW w:w="4946" w:type="dxa"/>
                  <w:vMerge/>
                  <w:tcBorders>
                    <w:top w:val="single" w:sz="4" w:space="0" w:color="auto"/>
                    <w:left w:val="single" w:sz="4" w:space="0" w:color="auto"/>
                    <w:bottom w:val="single" w:sz="4" w:space="0" w:color="auto"/>
                    <w:right w:val="single" w:sz="4" w:space="0" w:color="auto"/>
                  </w:tcBorders>
                  <w:vAlign w:val="center"/>
                </w:tcPr>
                <w:p w14:paraId="32C07B7E" w14:textId="77777777" w:rsidR="00111483" w:rsidRDefault="00111483" w:rsidP="00111483">
                  <w:pP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1D4E4EAB" w14:textId="77777777" w:rsidR="00111483" w:rsidRDefault="00111483" w:rsidP="00111483">
                  <w:pPr>
                    <w:jc w:val="center"/>
                    <w:rPr>
                      <w:sz w:val="22"/>
                      <w:szCs w:val="22"/>
                    </w:rPr>
                  </w:pPr>
                  <w:r>
                    <w:rPr>
                      <w:sz w:val="22"/>
                      <w:szCs w:val="22"/>
                    </w:rPr>
                    <w:t>FĮ-71-05</w:t>
                  </w:r>
                </w:p>
              </w:tc>
              <w:tc>
                <w:tcPr>
                  <w:tcW w:w="1701" w:type="dxa"/>
                  <w:tcBorders>
                    <w:top w:val="single" w:sz="4" w:space="0" w:color="auto"/>
                    <w:left w:val="single" w:sz="4" w:space="0" w:color="auto"/>
                    <w:bottom w:val="single" w:sz="4" w:space="0" w:color="auto"/>
                    <w:right w:val="single" w:sz="4" w:space="0" w:color="auto"/>
                  </w:tcBorders>
                  <w:vAlign w:val="center"/>
                </w:tcPr>
                <w:p w14:paraId="602CAAF2" w14:textId="77777777" w:rsidR="00111483" w:rsidRDefault="00111483" w:rsidP="00111483">
                  <w:pPr>
                    <w:jc w:val="center"/>
                    <w:rPr>
                      <w:sz w:val="22"/>
                      <w:szCs w:val="22"/>
                    </w:rPr>
                  </w:pPr>
                  <w:r>
                    <w:t>3,70</w:t>
                  </w:r>
                </w:p>
              </w:tc>
              <w:tc>
                <w:tcPr>
                  <w:tcW w:w="5166" w:type="dxa"/>
                  <w:tcBorders>
                    <w:top w:val="single" w:sz="4" w:space="0" w:color="auto"/>
                    <w:left w:val="single" w:sz="4" w:space="0" w:color="auto"/>
                    <w:bottom w:val="single" w:sz="4" w:space="0" w:color="auto"/>
                    <w:right w:val="single" w:sz="4" w:space="0" w:color="auto"/>
                  </w:tcBorders>
                  <w:vAlign w:val="center"/>
                </w:tcPr>
                <w:p w14:paraId="2CA6E1ED" w14:textId="77777777" w:rsidR="00111483" w:rsidRDefault="00111483" w:rsidP="00111483">
                  <w:pPr>
                    <w:jc w:val="center"/>
                    <w:rPr>
                      <w:sz w:val="22"/>
                      <w:szCs w:val="22"/>
                    </w:rPr>
                  </w:pPr>
                  <w:r>
                    <w:rPr>
                      <w:sz w:val="22"/>
                    </w:rPr>
                    <w:t>Fiksuotasis įkainis už žvejybą tipinėmis gaudyklėmis su apsaugančiu įdėklu, už 1 unikalią valandą, su PVM</w:t>
                  </w:r>
                </w:p>
              </w:tc>
            </w:tr>
            <w:tr w:rsidR="00111483" w14:paraId="4CF3AE02" w14:textId="77777777" w:rsidTr="004444CB">
              <w:trPr>
                <w:trHeight w:val="752"/>
              </w:trPr>
              <w:tc>
                <w:tcPr>
                  <w:tcW w:w="861" w:type="dxa"/>
                  <w:tcBorders>
                    <w:top w:val="single" w:sz="4" w:space="0" w:color="auto"/>
                    <w:bottom w:val="single" w:sz="4" w:space="0" w:color="auto"/>
                    <w:right w:val="single" w:sz="4" w:space="0" w:color="auto"/>
                  </w:tcBorders>
                  <w:vAlign w:val="center"/>
                </w:tcPr>
                <w:p w14:paraId="4C04B73D" w14:textId="77777777" w:rsidR="00111483" w:rsidRDefault="00111483" w:rsidP="00111483">
                  <w:pPr>
                    <w:jc w:val="center"/>
                    <w:rPr>
                      <w:sz w:val="22"/>
                      <w:szCs w:val="22"/>
                    </w:rPr>
                  </w:pPr>
                  <w:r>
                    <w:rPr>
                      <w:sz w:val="22"/>
                      <w:szCs w:val="22"/>
                    </w:rPr>
                    <w:t>10.20.</w:t>
                  </w:r>
                </w:p>
              </w:tc>
              <w:tc>
                <w:tcPr>
                  <w:tcW w:w="4946" w:type="dxa"/>
                  <w:vMerge w:val="restart"/>
                  <w:tcBorders>
                    <w:top w:val="single" w:sz="4" w:space="0" w:color="auto"/>
                    <w:left w:val="single" w:sz="4" w:space="0" w:color="auto"/>
                    <w:bottom w:val="single" w:sz="4" w:space="0" w:color="auto"/>
                    <w:right w:val="single" w:sz="4" w:space="0" w:color="auto"/>
                  </w:tcBorders>
                  <w:vAlign w:val="center"/>
                </w:tcPr>
                <w:p w14:paraId="6BF6783F" w14:textId="77777777" w:rsidR="00111483" w:rsidRDefault="00111483" w:rsidP="00111483">
                  <w:pPr>
                    <w:rPr>
                      <w:sz w:val="22"/>
                      <w:szCs w:val="22"/>
                    </w:rPr>
                  </w:pPr>
                  <w:r>
                    <w:rPr>
                      <w:sz w:val="22"/>
                      <w:szCs w:val="22"/>
                    </w:rPr>
                    <w:t>Fiksuotais įkainis nustatytas už negautas pardavimo pajamas, atsisakant įprastinės žvejybos statomaisiais tinklais ir žvejybos metu naudojant kitą žvejybos valdymo priemonę (įrankį) – žvejybą pontoninėmis gaudyklėmis.</w:t>
                  </w:r>
                </w:p>
              </w:tc>
              <w:tc>
                <w:tcPr>
                  <w:tcW w:w="1701" w:type="dxa"/>
                  <w:tcBorders>
                    <w:top w:val="single" w:sz="4" w:space="0" w:color="auto"/>
                    <w:left w:val="single" w:sz="4" w:space="0" w:color="auto"/>
                    <w:bottom w:val="single" w:sz="4" w:space="0" w:color="auto"/>
                    <w:right w:val="single" w:sz="4" w:space="0" w:color="auto"/>
                  </w:tcBorders>
                  <w:vAlign w:val="center"/>
                </w:tcPr>
                <w:p w14:paraId="697007F7" w14:textId="77777777" w:rsidR="00111483" w:rsidRDefault="00111483" w:rsidP="00111483">
                  <w:pPr>
                    <w:jc w:val="center"/>
                    <w:rPr>
                      <w:sz w:val="22"/>
                      <w:szCs w:val="22"/>
                    </w:rPr>
                  </w:pPr>
                  <w:r>
                    <w:rPr>
                      <w:sz w:val="22"/>
                      <w:szCs w:val="22"/>
                    </w:rPr>
                    <w:t>FĮ-71-06</w:t>
                  </w:r>
                </w:p>
              </w:tc>
              <w:tc>
                <w:tcPr>
                  <w:tcW w:w="1701" w:type="dxa"/>
                  <w:tcBorders>
                    <w:top w:val="single" w:sz="4" w:space="0" w:color="auto"/>
                    <w:left w:val="single" w:sz="4" w:space="0" w:color="auto"/>
                    <w:bottom w:val="single" w:sz="4" w:space="0" w:color="auto"/>
                    <w:right w:val="single" w:sz="4" w:space="0" w:color="auto"/>
                  </w:tcBorders>
                  <w:vAlign w:val="center"/>
                </w:tcPr>
                <w:p w14:paraId="09EE6AF9" w14:textId="77777777" w:rsidR="00111483" w:rsidRDefault="00111483" w:rsidP="00111483">
                  <w:pPr>
                    <w:jc w:val="center"/>
                    <w:rPr>
                      <w:sz w:val="22"/>
                      <w:szCs w:val="22"/>
                    </w:rPr>
                  </w:pPr>
                  <w:r>
                    <w:t>6,42</w:t>
                  </w:r>
                </w:p>
              </w:tc>
              <w:tc>
                <w:tcPr>
                  <w:tcW w:w="5166" w:type="dxa"/>
                  <w:tcBorders>
                    <w:top w:val="single" w:sz="4" w:space="0" w:color="auto"/>
                    <w:left w:val="single" w:sz="4" w:space="0" w:color="auto"/>
                    <w:bottom w:val="single" w:sz="4" w:space="0" w:color="auto"/>
                  </w:tcBorders>
                  <w:vAlign w:val="center"/>
                </w:tcPr>
                <w:p w14:paraId="1A8A7693" w14:textId="77777777" w:rsidR="00111483" w:rsidRDefault="00111483" w:rsidP="00111483">
                  <w:pPr>
                    <w:jc w:val="center"/>
                    <w:rPr>
                      <w:sz w:val="22"/>
                      <w:szCs w:val="22"/>
                    </w:rPr>
                  </w:pPr>
                  <w:r>
                    <w:rPr>
                      <w:sz w:val="22"/>
                    </w:rPr>
                    <w:t>Fiksuotasis įkainis už žvejybą pontoninėmis gaudyklėmis, už 1 unikalią valandą, be PVM</w:t>
                  </w:r>
                </w:p>
              </w:tc>
            </w:tr>
            <w:tr w:rsidR="00111483" w14:paraId="699471C6" w14:textId="77777777" w:rsidTr="004444CB">
              <w:trPr>
                <w:trHeight w:val="752"/>
              </w:trPr>
              <w:tc>
                <w:tcPr>
                  <w:tcW w:w="861" w:type="dxa"/>
                  <w:tcBorders>
                    <w:top w:val="single" w:sz="4" w:space="0" w:color="auto"/>
                    <w:bottom w:val="single" w:sz="4" w:space="0" w:color="auto"/>
                    <w:right w:val="single" w:sz="4" w:space="0" w:color="auto"/>
                  </w:tcBorders>
                  <w:vAlign w:val="center"/>
                </w:tcPr>
                <w:p w14:paraId="3B675CF1" w14:textId="77777777" w:rsidR="00111483" w:rsidRDefault="00111483" w:rsidP="00111483">
                  <w:pPr>
                    <w:jc w:val="center"/>
                    <w:rPr>
                      <w:sz w:val="22"/>
                      <w:szCs w:val="22"/>
                    </w:rPr>
                  </w:pPr>
                  <w:r>
                    <w:rPr>
                      <w:sz w:val="22"/>
                      <w:szCs w:val="22"/>
                    </w:rPr>
                    <w:t>10.21.</w:t>
                  </w:r>
                </w:p>
              </w:tc>
              <w:tc>
                <w:tcPr>
                  <w:tcW w:w="4946" w:type="dxa"/>
                  <w:vMerge/>
                  <w:tcBorders>
                    <w:top w:val="single" w:sz="4" w:space="0" w:color="auto"/>
                    <w:left w:val="single" w:sz="4" w:space="0" w:color="auto"/>
                    <w:bottom w:val="single" w:sz="4" w:space="0" w:color="auto"/>
                    <w:right w:val="single" w:sz="4" w:space="0" w:color="auto"/>
                  </w:tcBorders>
                  <w:vAlign w:val="center"/>
                </w:tcPr>
                <w:p w14:paraId="076557B4" w14:textId="77777777" w:rsidR="00111483" w:rsidRDefault="00111483" w:rsidP="00111483">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55E2592C" w14:textId="77777777" w:rsidR="00111483" w:rsidRDefault="00111483" w:rsidP="00111483">
                  <w:pPr>
                    <w:jc w:val="center"/>
                    <w:rPr>
                      <w:sz w:val="22"/>
                      <w:szCs w:val="22"/>
                    </w:rPr>
                  </w:pPr>
                  <w:r>
                    <w:rPr>
                      <w:sz w:val="22"/>
                      <w:szCs w:val="22"/>
                    </w:rPr>
                    <w:t>FĮ-71-07</w:t>
                  </w:r>
                </w:p>
              </w:tc>
              <w:tc>
                <w:tcPr>
                  <w:tcW w:w="1701" w:type="dxa"/>
                  <w:tcBorders>
                    <w:top w:val="single" w:sz="4" w:space="0" w:color="auto"/>
                    <w:left w:val="single" w:sz="4" w:space="0" w:color="auto"/>
                    <w:bottom w:val="single" w:sz="4" w:space="0" w:color="auto"/>
                    <w:right w:val="single" w:sz="4" w:space="0" w:color="auto"/>
                  </w:tcBorders>
                  <w:vAlign w:val="center"/>
                </w:tcPr>
                <w:p w14:paraId="6783E372" w14:textId="77777777" w:rsidR="00111483" w:rsidRDefault="00111483" w:rsidP="00111483">
                  <w:pPr>
                    <w:jc w:val="center"/>
                    <w:rPr>
                      <w:sz w:val="22"/>
                      <w:szCs w:val="22"/>
                    </w:rPr>
                  </w:pPr>
                  <w:r>
                    <w:t>7,77</w:t>
                  </w:r>
                </w:p>
              </w:tc>
              <w:tc>
                <w:tcPr>
                  <w:tcW w:w="5166" w:type="dxa"/>
                  <w:tcBorders>
                    <w:top w:val="single" w:sz="4" w:space="0" w:color="auto"/>
                    <w:left w:val="single" w:sz="4" w:space="0" w:color="auto"/>
                    <w:bottom w:val="single" w:sz="4" w:space="0" w:color="auto"/>
                  </w:tcBorders>
                  <w:vAlign w:val="center"/>
                </w:tcPr>
                <w:p w14:paraId="49B96CEC" w14:textId="1FB098FF" w:rsidR="00111483" w:rsidRDefault="00111483" w:rsidP="00E3494A">
                  <w:pPr>
                    <w:jc w:val="center"/>
                    <w:rPr>
                      <w:sz w:val="22"/>
                    </w:rPr>
                  </w:pPr>
                  <w:r>
                    <w:rPr>
                      <w:sz w:val="22"/>
                    </w:rPr>
                    <w:t>Fiksuotasis įkainis už žvejybą pontoninėmis gaudyklėmis, už 1 unikalią valandą, su PVM</w:t>
                  </w:r>
                  <w:bookmarkStart w:id="0" w:name="_GoBack"/>
                  <w:bookmarkEnd w:id="0"/>
                </w:p>
              </w:tc>
            </w:tr>
          </w:tbl>
          <w:p w14:paraId="5A3DDF9E" w14:textId="77777777" w:rsidR="002C6D1A" w:rsidRPr="00111483" w:rsidRDefault="002C6D1A">
            <w:pPr>
              <w:spacing w:line="360" w:lineRule="auto"/>
              <w:jc w:val="both"/>
              <w:rPr>
                <w:iCs/>
                <w:sz w:val="22"/>
                <w:szCs w:val="22"/>
              </w:rPr>
            </w:pPr>
          </w:p>
        </w:tc>
      </w:tr>
    </w:tbl>
    <w:p w14:paraId="4BD2E0E2" w14:textId="77777777" w:rsidR="002C6D1A" w:rsidRDefault="002C6D1A">
      <w:pPr>
        <w:spacing w:line="276" w:lineRule="auto"/>
        <w:rPr>
          <w:rFonts w:eastAsia="Calibri"/>
          <w:sz w:val="22"/>
          <w:szCs w:val="22"/>
        </w:rPr>
      </w:pPr>
    </w:p>
    <w:p w14:paraId="740A2B6B" w14:textId="77777777" w:rsidR="002C6D1A" w:rsidRDefault="002C6D1A">
      <w:pPr>
        <w:rPr>
          <w:sz w:val="22"/>
          <w:szCs w:val="22"/>
        </w:rPr>
      </w:pPr>
    </w:p>
    <w:p w14:paraId="4530A899" w14:textId="77777777" w:rsidR="002C6D1A" w:rsidRDefault="00B40D42">
      <w:pPr>
        <w:spacing w:line="276" w:lineRule="auto"/>
        <w:jc w:val="center"/>
        <w:rPr>
          <w:rFonts w:eastAsia="Calibri"/>
          <w:sz w:val="22"/>
          <w:szCs w:val="22"/>
        </w:rPr>
      </w:pPr>
      <w:r>
        <w:rPr>
          <w:rFonts w:eastAsia="Calibri"/>
          <w:sz w:val="22"/>
          <w:szCs w:val="22"/>
        </w:rPr>
        <w:t>________________________________</w:t>
      </w:r>
    </w:p>
    <w:p w14:paraId="76C0D1D1" w14:textId="77777777" w:rsidR="002C6D1A" w:rsidRDefault="00E3494A">
      <w:pPr>
        <w:rPr>
          <w:sz w:val="20"/>
        </w:rPr>
      </w:pPr>
    </w:p>
    <w:sectPr w:rsidR="002C6D1A" w:rsidSect="00B40D42">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701" w:right="567" w:bottom="1134" w:left="1701"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24E9C" w14:textId="77777777" w:rsidR="002C6D1A" w:rsidRDefault="00B40D42">
      <w:pPr>
        <w:rPr>
          <w:sz w:val="22"/>
          <w:szCs w:val="22"/>
        </w:rPr>
      </w:pPr>
      <w:r>
        <w:rPr>
          <w:sz w:val="22"/>
          <w:szCs w:val="22"/>
        </w:rPr>
        <w:separator/>
      </w:r>
    </w:p>
  </w:endnote>
  <w:endnote w:type="continuationSeparator" w:id="0">
    <w:p w14:paraId="2B164F0C" w14:textId="77777777" w:rsidR="002C6D1A" w:rsidRDefault="00B40D42">
      <w:pPr>
        <w:rPr>
          <w:sz w:val="22"/>
          <w:szCs w:val="22"/>
        </w:rPr>
      </w:pPr>
      <w:r>
        <w:rPr>
          <w:sz w:val="22"/>
          <w:szCs w:val="22"/>
        </w:rPr>
        <w:continuationSeparator/>
      </w:r>
    </w:p>
  </w:endnote>
  <w:endnote w:type="continuationNotice" w:id="1">
    <w:p w14:paraId="5985CF56" w14:textId="77777777" w:rsidR="002C6D1A" w:rsidRDefault="002C6D1A">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5FC04" w14:textId="77777777" w:rsidR="002C6D1A" w:rsidRDefault="002C6D1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84D09" w14:textId="77777777" w:rsidR="002C6D1A" w:rsidRDefault="002C6D1A">
    <w:pPr>
      <w:tabs>
        <w:tab w:val="center" w:pos="4819"/>
        <w:tab w:val="right" w:pos="9638"/>
      </w:tabs>
      <w:ind w:firstLine="720"/>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67F6E" w14:textId="77777777" w:rsidR="002C6D1A" w:rsidRDefault="002C6D1A">
    <w:pPr>
      <w:tabs>
        <w:tab w:val="center" w:pos="4680"/>
        <w:tab w:val="right" w:pos="9360"/>
      </w:tabs>
      <w:jc w:val="center"/>
      <w:rPr>
        <w:sz w:val="22"/>
        <w:szCs w:val="22"/>
        <w:lang w:eastAsia="lt-LT"/>
      </w:rPr>
    </w:pPr>
  </w:p>
  <w:p w14:paraId="5C6368B0" w14:textId="77777777" w:rsidR="002C6D1A" w:rsidRDefault="002C6D1A">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DCBA4" w14:textId="77777777" w:rsidR="002C6D1A" w:rsidRDefault="00B40D42">
      <w:pPr>
        <w:rPr>
          <w:sz w:val="22"/>
          <w:szCs w:val="22"/>
        </w:rPr>
      </w:pPr>
      <w:r>
        <w:rPr>
          <w:sz w:val="22"/>
          <w:szCs w:val="22"/>
        </w:rPr>
        <w:separator/>
      </w:r>
    </w:p>
  </w:footnote>
  <w:footnote w:type="continuationSeparator" w:id="0">
    <w:p w14:paraId="369619DA" w14:textId="77777777" w:rsidR="002C6D1A" w:rsidRDefault="00B40D42">
      <w:pPr>
        <w:rPr>
          <w:sz w:val="22"/>
          <w:szCs w:val="22"/>
        </w:rPr>
      </w:pPr>
      <w:r>
        <w:rPr>
          <w:sz w:val="22"/>
          <w:szCs w:val="22"/>
        </w:rPr>
        <w:continuationSeparator/>
      </w:r>
    </w:p>
  </w:footnote>
  <w:footnote w:type="continuationNotice" w:id="1">
    <w:p w14:paraId="0BB32A57" w14:textId="77777777" w:rsidR="002C6D1A" w:rsidRDefault="002C6D1A">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11938" w14:textId="77777777" w:rsidR="002C6D1A" w:rsidRDefault="002C6D1A">
    <w:pPr>
      <w:tabs>
        <w:tab w:val="center" w:pos="4680"/>
        <w:tab w:val="right" w:pos="9360"/>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6A887" w14:textId="5D9472F6" w:rsidR="002C6D1A" w:rsidRDefault="00B40D42">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E3494A">
      <w:rPr>
        <w:noProof/>
        <w:sz w:val="22"/>
        <w:szCs w:val="22"/>
        <w:lang w:eastAsia="lt-LT"/>
      </w:rPr>
      <w:t>10</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D6568" w14:textId="77777777" w:rsidR="002C6D1A" w:rsidRDefault="002C6D1A">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B0"/>
    <w:rsid w:val="00111483"/>
    <w:rsid w:val="002C6D1A"/>
    <w:rsid w:val="00577E49"/>
    <w:rsid w:val="00A361B0"/>
    <w:rsid w:val="00A44554"/>
    <w:rsid w:val="00AA2645"/>
    <w:rsid w:val="00B40D42"/>
    <w:rsid w:val="00B57EAB"/>
    <w:rsid w:val="00E3494A"/>
    <w:rsid w:val="00F559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54878"/>
  <w15:docId w15:val="{BCAFA5FE-85E2-470E-9CB2-9FBDE549A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A445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1132">
      <w:bodyDiv w:val="1"/>
      <w:marLeft w:val="0"/>
      <w:marRight w:val="0"/>
      <w:marTop w:val="0"/>
      <w:marBottom w:val="0"/>
      <w:divBdr>
        <w:top w:val="none" w:sz="0" w:space="0" w:color="auto"/>
        <w:left w:val="none" w:sz="0" w:space="0" w:color="auto"/>
        <w:bottom w:val="none" w:sz="0" w:space="0" w:color="auto"/>
        <w:right w:val="none" w:sz="0" w:space="0" w:color="auto"/>
      </w:divBdr>
    </w:div>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42562439">
      <w:bodyDiv w:val="1"/>
      <w:marLeft w:val="0"/>
      <w:marRight w:val="0"/>
      <w:marTop w:val="0"/>
      <w:marBottom w:val="0"/>
      <w:divBdr>
        <w:top w:val="none" w:sz="0" w:space="0" w:color="auto"/>
        <w:left w:val="none" w:sz="0" w:space="0" w:color="auto"/>
        <w:bottom w:val="none" w:sz="0" w:space="0" w:color="auto"/>
        <w:right w:val="none" w:sz="0" w:space="0" w:color="auto"/>
      </w:divBdr>
      <w:divsChild>
        <w:div w:id="712119074">
          <w:marLeft w:val="0"/>
          <w:marRight w:val="0"/>
          <w:marTop w:val="0"/>
          <w:marBottom w:val="0"/>
          <w:divBdr>
            <w:top w:val="none" w:sz="0" w:space="0" w:color="auto"/>
            <w:left w:val="none" w:sz="0" w:space="0" w:color="auto"/>
            <w:bottom w:val="none" w:sz="0" w:space="0" w:color="auto"/>
            <w:right w:val="none" w:sz="0" w:space="0" w:color="auto"/>
          </w:divBdr>
        </w:div>
        <w:div w:id="1916283100">
          <w:marLeft w:val="0"/>
          <w:marRight w:val="0"/>
          <w:marTop w:val="0"/>
          <w:marBottom w:val="0"/>
          <w:divBdr>
            <w:top w:val="none" w:sz="0" w:space="0" w:color="auto"/>
            <w:left w:val="none" w:sz="0" w:space="0" w:color="auto"/>
            <w:bottom w:val="none" w:sz="0" w:space="0" w:color="auto"/>
            <w:right w:val="none" w:sz="0" w:space="0" w:color="auto"/>
          </w:divBdr>
          <w:divsChild>
            <w:div w:id="133061835">
              <w:marLeft w:val="0"/>
              <w:marRight w:val="0"/>
              <w:marTop w:val="0"/>
              <w:marBottom w:val="0"/>
              <w:divBdr>
                <w:top w:val="none" w:sz="0" w:space="0" w:color="auto"/>
                <w:left w:val="none" w:sz="0" w:space="0" w:color="auto"/>
                <w:bottom w:val="none" w:sz="0" w:space="0" w:color="auto"/>
                <w:right w:val="none" w:sz="0" w:space="0" w:color="auto"/>
              </w:divBdr>
            </w:div>
            <w:div w:id="544948458">
              <w:marLeft w:val="0"/>
              <w:marRight w:val="0"/>
              <w:marTop w:val="0"/>
              <w:marBottom w:val="0"/>
              <w:divBdr>
                <w:top w:val="none" w:sz="0" w:space="0" w:color="auto"/>
                <w:left w:val="none" w:sz="0" w:space="0" w:color="auto"/>
                <w:bottom w:val="none" w:sz="0" w:space="0" w:color="auto"/>
                <w:right w:val="none" w:sz="0" w:space="0" w:color="auto"/>
              </w:divBdr>
            </w:div>
            <w:div w:id="1333416786">
              <w:marLeft w:val="0"/>
              <w:marRight w:val="0"/>
              <w:marTop w:val="0"/>
              <w:marBottom w:val="0"/>
              <w:divBdr>
                <w:top w:val="none" w:sz="0" w:space="0" w:color="auto"/>
                <w:left w:val="none" w:sz="0" w:space="0" w:color="auto"/>
                <w:bottom w:val="none" w:sz="0" w:space="0" w:color="auto"/>
                <w:right w:val="none" w:sz="0" w:space="0" w:color="auto"/>
              </w:divBdr>
            </w:div>
            <w:div w:id="179216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0381">
      <w:bodyDiv w:val="1"/>
      <w:marLeft w:val="0"/>
      <w:marRight w:val="0"/>
      <w:marTop w:val="0"/>
      <w:marBottom w:val="0"/>
      <w:divBdr>
        <w:top w:val="none" w:sz="0" w:space="0" w:color="auto"/>
        <w:left w:val="none" w:sz="0" w:space="0" w:color="auto"/>
        <w:bottom w:val="none" w:sz="0" w:space="0" w:color="auto"/>
        <w:right w:val="none" w:sz="0" w:space="0" w:color="auto"/>
      </w:divBdr>
    </w:div>
    <w:div w:id="58989463">
      <w:bodyDiv w:val="1"/>
      <w:marLeft w:val="0"/>
      <w:marRight w:val="0"/>
      <w:marTop w:val="0"/>
      <w:marBottom w:val="0"/>
      <w:divBdr>
        <w:top w:val="none" w:sz="0" w:space="0" w:color="auto"/>
        <w:left w:val="none" w:sz="0" w:space="0" w:color="auto"/>
        <w:bottom w:val="none" w:sz="0" w:space="0" w:color="auto"/>
        <w:right w:val="none" w:sz="0" w:space="0" w:color="auto"/>
      </w:divBdr>
    </w:div>
    <w:div w:id="91247504">
      <w:bodyDiv w:val="1"/>
      <w:marLeft w:val="0"/>
      <w:marRight w:val="0"/>
      <w:marTop w:val="0"/>
      <w:marBottom w:val="0"/>
      <w:divBdr>
        <w:top w:val="none" w:sz="0" w:space="0" w:color="auto"/>
        <w:left w:val="none" w:sz="0" w:space="0" w:color="auto"/>
        <w:bottom w:val="none" w:sz="0" w:space="0" w:color="auto"/>
        <w:right w:val="none" w:sz="0" w:space="0" w:color="auto"/>
      </w:divBdr>
      <w:divsChild>
        <w:div w:id="2081902871">
          <w:marLeft w:val="446"/>
          <w:marRight w:val="0"/>
          <w:marTop w:val="0"/>
          <w:marBottom w:val="0"/>
          <w:divBdr>
            <w:top w:val="none" w:sz="0" w:space="0" w:color="auto"/>
            <w:left w:val="none" w:sz="0" w:space="0" w:color="auto"/>
            <w:bottom w:val="none" w:sz="0" w:space="0" w:color="auto"/>
            <w:right w:val="none" w:sz="0" w:space="0" w:color="auto"/>
          </w:divBdr>
        </w:div>
      </w:divsChild>
    </w:div>
    <w:div w:id="212083458">
      <w:bodyDiv w:val="1"/>
      <w:marLeft w:val="0"/>
      <w:marRight w:val="0"/>
      <w:marTop w:val="0"/>
      <w:marBottom w:val="0"/>
      <w:divBdr>
        <w:top w:val="none" w:sz="0" w:space="0" w:color="auto"/>
        <w:left w:val="none" w:sz="0" w:space="0" w:color="auto"/>
        <w:bottom w:val="none" w:sz="0" w:space="0" w:color="auto"/>
        <w:right w:val="none" w:sz="0" w:space="0" w:color="auto"/>
      </w:divBdr>
      <w:divsChild>
        <w:div w:id="1238393623">
          <w:marLeft w:val="446"/>
          <w:marRight w:val="0"/>
          <w:marTop w:val="0"/>
          <w:marBottom w:val="0"/>
          <w:divBdr>
            <w:top w:val="none" w:sz="0" w:space="0" w:color="auto"/>
            <w:left w:val="none" w:sz="0" w:space="0" w:color="auto"/>
            <w:bottom w:val="none" w:sz="0" w:space="0" w:color="auto"/>
            <w:right w:val="none" w:sz="0" w:space="0" w:color="auto"/>
          </w:divBdr>
        </w:div>
      </w:divsChild>
    </w:div>
    <w:div w:id="221061134">
      <w:bodyDiv w:val="1"/>
      <w:marLeft w:val="0"/>
      <w:marRight w:val="0"/>
      <w:marTop w:val="0"/>
      <w:marBottom w:val="0"/>
      <w:divBdr>
        <w:top w:val="none" w:sz="0" w:space="0" w:color="auto"/>
        <w:left w:val="none" w:sz="0" w:space="0" w:color="auto"/>
        <w:bottom w:val="none" w:sz="0" w:space="0" w:color="auto"/>
        <w:right w:val="none" w:sz="0" w:space="0" w:color="auto"/>
      </w:divBdr>
    </w:div>
    <w:div w:id="235556488">
      <w:bodyDiv w:val="1"/>
      <w:marLeft w:val="0"/>
      <w:marRight w:val="0"/>
      <w:marTop w:val="0"/>
      <w:marBottom w:val="0"/>
      <w:divBdr>
        <w:top w:val="none" w:sz="0" w:space="0" w:color="auto"/>
        <w:left w:val="none" w:sz="0" w:space="0" w:color="auto"/>
        <w:bottom w:val="none" w:sz="0" w:space="0" w:color="auto"/>
        <w:right w:val="none" w:sz="0" w:space="0" w:color="auto"/>
      </w:divBdr>
    </w:div>
    <w:div w:id="248272225">
      <w:bodyDiv w:val="1"/>
      <w:marLeft w:val="0"/>
      <w:marRight w:val="0"/>
      <w:marTop w:val="0"/>
      <w:marBottom w:val="0"/>
      <w:divBdr>
        <w:top w:val="none" w:sz="0" w:space="0" w:color="auto"/>
        <w:left w:val="none" w:sz="0" w:space="0" w:color="auto"/>
        <w:bottom w:val="none" w:sz="0" w:space="0" w:color="auto"/>
        <w:right w:val="none" w:sz="0" w:space="0" w:color="auto"/>
      </w:divBdr>
    </w:div>
    <w:div w:id="262886091">
      <w:bodyDiv w:val="1"/>
      <w:marLeft w:val="0"/>
      <w:marRight w:val="0"/>
      <w:marTop w:val="0"/>
      <w:marBottom w:val="0"/>
      <w:divBdr>
        <w:top w:val="none" w:sz="0" w:space="0" w:color="auto"/>
        <w:left w:val="none" w:sz="0" w:space="0" w:color="auto"/>
        <w:bottom w:val="none" w:sz="0" w:space="0" w:color="auto"/>
        <w:right w:val="none" w:sz="0" w:space="0" w:color="auto"/>
      </w:divBdr>
      <w:divsChild>
        <w:div w:id="1415514460">
          <w:marLeft w:val="0"/>
          <w:marRight w:val="0"/>
          <w:marTop w:val="0"/>
          <w:marBottom w:val="0"/>
          <w:divBdr>
            <w:top w:val="none" w:sz="0" w:space="0" w:color="auto"/>
            <w:left w:val="none" w:sz="0" w:space="0" w:color="auto"/>
            <w:bottom w:val="none" w:sz="0" w:space="0" w:color="auto"/>
            <w:right w:val="none" w:sz="0" w:space="0" w:color="auto"/>
          </w:divBdr>
        </w:div>
      </w:divsChild>
    </w:div>
    <w:div w:id="271130996">
      <w:bodyDiv w:val="1"/>
      <w:marLeft w:val="0"/>
      <w:marRight w:val="0"/>
      <w:marTop w:val="0"/>
      <w:marBottom w:val="0"/>
      <w:divBdr>
        <w:top w:val="none" w:sz="0" w:space="0" w:color="auto"/>
        <w:left w:val="none" w:sz="0" w:space="0" w:color="auto"/>
        <w:bottom w:val="none" w:sz="0" w:space="0" w:color="auto"/>
        <w:right w:val="none" w:sz="0" w:space="0" w:color="auto"/>
      </w:divBdr>
      <w:divsChild>
        <w:div w:id="32776620">
          <w:marLeft w:val="0"/>
          <w:marRight w:val="0"/>
          <w:marTop w:val="0"/>
          <w:marBottom w:val="0"/>
          <w:divBdr>
            <w:top w:val="none" w:sz="0" w:space="0" w:color="auto"/>
            <w:left w:val="none" w:sz="0" w:space="0" w:color="auto"/>
            <w:bottom w:val="none" w:sz="0" w:space="0" w:color="auto"/>
            <w:right w:val="none" w:sz="0" w:space="0" w:color="auto"/>
          </w:divBdr>
        </w:div>
        <w:div w:id="191263045">
          <w:marLeft w:val="0"/>
          <w:marRight w:val="0"/>
          <w:marTop w:val="0"/>
          <w:marBottom w:val="0"/>
          <w:divBdr>
            <w:top w:val="none" w:sz="0" w:space="0" w:color="auto"/>
            <w:left w:val="none" w:sz="0" w:space="0" w:color="auto"/>
            <w:bottom w:val="none" w:sz="0" w:space="0" w:color="auto"/>
            <w:right w:val="none" w:sz="0" w:space="0" w:color="auto"/>
          </w:divBdr>
        </w:div>
        <w:div w:id="437264226">
          <w:marLeft w:val="0"/>
          <w:marRight w:val="0"/>
          <w:marTop w:val="0"/>
          <w:marBottom w:val="0"/>
          <w:divBdr>
            <w:top w:val="none" w:sz="0" w:space="0" w:color="auto"/>
            <w:left w:val="none" w:sz="0" w:space="0" w:color="auto"/>
            <w:bottom w:val="none" w:sz="0" w:space="0" w:color="auto"/>
            <w:right w:val="none" w:sz="0" w:space="0" w:color="auto"/>
          </w:divBdr>
        </w:div>
        <w:div w:id="977416641">
          <w:marLeft w:val="0"/>
          <w:marRight w:val="0"/>
          <w:marTop w:val="0"/>
          <w:marBottom w:val="0"/>
          <w:divBdr>
            <w:top w:val="none" w:sz="0" w:space="0" w:color="auto"/>
            <w:left w:val="none" w:sz="0" w:space="0" w:color="auto"/>
            <w:bottom w:val="none" w:sz="0" w:space="0" w:color="auto"/>
            <w:right w:val="none" w:sz="0" w:space="0" w:color="auto"/>
          </w:divBdr>
        </w:div>
        <w:div w:id="1126313397">
          <w:marLeft w:val="0"/>
          <w:marRight w:val="0"/>
          <w:marTop w:val="0"/>
          <w:marBottom w:val="0"/>
          <w:divBdr>
            <w:top w:val="none" w:sz="0" w:space="0" w:color="auto"/>
            <w:left w:val="none" w:sz="0" w:space="0" w:color="auto"/>
            <w:bottom w:val="none" w:sz="0" w:space="0" w:color="auto"/>
            <w:right w:val="none" w:sz="0" w:space="0" w:color="auto"/>
          </w:divBdr>
        </w:div>
        <w:div w:id="1479032433">
          <w:marLeft w:val="0"/>
          <w:marRight w:val="0"/>
          <w:marTop w:val="0"/>
          <w:marBottom w:val="0"/>
          <w:divBdr>
            <w:top w:val="none" w:sz="0" w:space="0" w:color="auto"/>
            <w:left w:val="none" w:sz="0" w:space="0" w:color="auto"/>
            <w:bottom w:val="none" w:sz="0" w:space="0" w:color="auto"/>
            <w:right w:val="none" w:sz="0" w:space="0" w:color="auto"/>
          </w:divBdr>
        </w:div>
        <w:div w:id="1573394383">
          <w:marLeft w:val="0"/>
          <w:marRight w:val="0"/>
          <w:marTop w:val="0"/>
          <w:marBottom w:val="0"/>
          <w:divBdr>
            <w:top w:val="none" w:sz="0" w:space="0" w:color="auto"/>
            <w:left w:val="none" w:sz="0" w:space="0" w:color="auto"/>
            <w:bottom w:val="none" w:sz="0" w:space="0" w:color="auto"/>
            <w:right w:val="none" w:sz="0" w:space="0" w:color="auto"/>
          </w:divBdr>
        </w:div>
        <w:div w:id="1693258545">
          <w:marLeft w:val="0"/>
          <w:marRight w:val="0"/>
          <w:marTop w:val="0"/>
          <w:marBottom w:val="0"/>
          <w:divBdr>
            <w:top w:val="none" w:sz="0" w:space="0" w:color="auto"/>
            <w:left w:val="none" w:sz="0" w:space="0" w:color="auto"/>
            <w:bottom w:val="none" w:sz="0" w:space="0" w:color="auto"/>
            <w:right w:val="none" w:sz="0" w:space="0" w:color="auto"/>
          </w:divBdr>
        </w:div>
        <w:div w:id="1867716201">
          <w:marLeft w:val="0"/>
          <w:marRight w:val="0"/>
          <w:marTop w:val="0"/>
          <w:marBottom w:val="0"/>
          <w:divBdr>
            <w:top w:val="none" w:sz="0" w:space="0" w:color="auto"/>
            <w:left w:val="none" w:sz="0" w:space="0" w:color="auto"/>
            <w:bottom w:val="none" w:sz="0" w:space="0" w:color="auto"/>
            <w:right w:val="none" w:sz="0" w:space="0" w:color="auto"/>
          </w:divBdr>
        </w:div>
      </w:divsChild>
    </w:div>
    <w:div w:id="274486292">
      <w:bodyDiv w:val="1"/>
      <w:marLeft w:val="0"/>
      <w:marRight w:val="0"/>
      <w:marTop w:val="0"/>
      <w:marBottom w:val="0"/>
      <w:divBdr>
        <w:top w:val="none" w:sz="0" w:space="0" w:color="auto"/>
        <w:left w:val="none" w:sz="0" w:space="0" w:color="auto"/>
        <w:bottom w:val="none" w:sz="0" w:space="0" w:color="auto"/>
        <w:right w:val="none" w:sz="0" w:space="0" w:color="auto"/>
      </w:divBdr>
      <w:divsChild>
        <w:div w:id="614680587">
          <w:marLeft w:val="0"/>
          <w:marRight w:val="0"/>
          <w:marTop w:val="0"/>
          <w:marBottom w:val="0"/>
          <w:divBdr>
            <w:top w:val="none" w:sz="0" w:space="0" w:color="auto"/>
            <w:left w:val="none" w:sz="0" w:space="0" w:color="auto"/>
            <w:bottom w:val="none" w:sz="0" w:space="0" w:color="auto"/>
            <w:right w:val="none" w:sz="0" w:space="0" w:color="auto"/>
          </w:divBdr>
        </w:div>
        <w:div w:id="775439935">
          <w:marLeft w:val="0"/>
          <w:marRight w:val="0"/>
          <w:marTop w:val="0"/>
          <w:marBottom w:val="0"/>
          <w:divBdr>
            <w:top w:val="none" w:sz="0" w:space="0" w:color="auto"/>
            <w:left w:val="none" w:sz="0" w:space="0" w:color="auto"/>
            <w:bottom w:val="none" w:sz="0" w:space="0" w:color="auto"/>
            <w:right w:val="none" w:sz="0" w:space="0" w:color="auto"/>
          </w:divBdr>
        </w:div>
        <w:div w:id="1584989174">
          <w:marLeft w:val="0"/>
          <w:marRight w:val="0"/>
          <w:marTop w:val="0"/>
          <w:marBottom w:val="0"/>
          <w:divBdr>
            <w:top w:val="none" w:sz="0" w:space="0" w:color="auto"/>
            <w:left w:val="none" w:sz="0" w:space="0" w:color="auto"/>
            <w:bottom w:val="none" w:sz="0" w:space="0" w:color="auto"/>
            <w:right w:val="none" w:sz="0" w:space="0" w:color="auto"/>
          </w:divBdr>
        </w:div>
      </w:divsChild>
    </w:div>
    <w:div w:id="351953545">
      <w:bodyDiv w:val="1"/>
      <w:marLeft w:val="0"/>
      <w:marRight w:val="0"/>
      <w:marTop w:val="0"/>
      <w:marBottom w:val="0"/>
      <w:divBdr>
        <w:top w:val="none" w:sz="0" w:space="0" w:color="auto"/>
        <w:left w:val="none" w:sz="0" w:space="0" w:color="auto"/>
        <w:bottom w:val="none" w:sz="0" w:space="0" w:color="auto"/>
        <w:right w:val="none" w:sz="0" w:space="0" w:color="auto"/>
      </w:divBdr>
    </w:div>
    <w:div w:id="502748521">
      <w:bodyDiv w:val="1"/>
      <w:marLeft w:val="0"/>
      <w:marRight w:val="0"/>
      <w:marTop w:val="0"/>
      <w:marBottom w:val="0"/>
      <w:divBdr>
        <w:top w:val="none" w:sz="0" w:space="0" w:color="auto"/>
        <w:left w:val="none" w:sz="0" w:space="0" w:color="auto"/>
        <w:bottom w:val="none" w:sz="0" w:space="0" w:color="auto"/>
        <w:right w:val="none" w:sz="0" w:space="0" w:color="auto"/>
      </w:divBdr>
    </w:div>
    <w:div w:id="598220633">
      <w:bodyDiv w:val="1"/>
      <w:marLeft w:val="0"/>
      <w:marRight w:val="0"/>
      <w:marTop w:val="0"/>
      <w:marBottom w:val="0"/>
      <w:divBdr>
        <w:top w:val="none" w:sz="0" w:space="0" w:color="auto"/>
        <w:left w:val="none" w:sz="0" w:space="0" w:color="auto"/>
        <w:bottom w:val="none" w:sz="0" w:space="0" w:color="auto"/>
        <w:right w:val="none" w:sz="0" w:space="0" w:color="auto"/>
      </w:divBdr>
    </w:div>
    <w:div w:id="630211064">
      <w:bodyDiv w:val="1"/>
      <w:marLeft w:val="0"/>
      <w:marRight w:val="0"/>
      <w:marTop w:val="0"/>
      <w:marBottom w:val="0"/>
      <w:divBdr>
        <w:top w:val="none" w:sz="0" w:space="0" w:color="auto"/>
        <w:left w:val="none" w:sz="0" w:space="0" w:color="auto"/>
        <w:bottom w:val="none" w:sz="0" w:space="0" w:color="auto"/>
        <w:right w:val="none" w:sz="0" w:space="0" w:color="auto"/>
      </w:divBdr>
    </w:div>
    <w:div w:id="661202103">
      <w:bodyDiv w:val="1"/>
      <w:marLeft w:val="0"/>
      <w:marRight w:val="0"/>
      <w:marTop w:val="0"/>
      <w:marBottom w:val="0"/>
      <w:divBdr>
        <w:top w:val="none" w:sz="0" w:space="0" w:color="auto"/>
        <w:left w:val="none" w:sz="0" w:space="0" w:color="auto"/>
        <w:bottom w:val="none" w:sz="0" w:space="0" w:color="auto"/>
        <w:right w:val="none" w:sz="0" w:space="0" w:color="auto"/>
      </w:divBdr>
      <w:divsChild>
        <w:div w:id="139689206">
          <w:marLeft w:val="0"/>
          <w:marRight w:val="0"/>
          <w:marTop w:val="0"/>
          <w:marBottom w:val="0"/>
          <w:divBdr>
            <w:top w:val="none" w:sz="0" w:space="0" w:color="auto"/>
            <w:left w:val="none" w:sz="0" w:space="0" w:color="auto"/>
            <w:bottom w:val="none" w:sz="0" w:space="0" w:color="auto"/>
            <w:right w:val="none" w:sz="0" w:space="0" w:color="auto"/>
          </w:divBdr>
        </w:div>
        <w:div w:id="181477081">
          <w:marLeft w:val="0"/>
          <w:marRight w:val="0"/>
          <w:marTop w:val="0"/>
          <w:marBottom w:val="0"/>
          <w:divBdr>
            <w:top w:val="none" w:sz="0" w:space="0" w:color="auto"/>
            <w:left w:val="none" w:sz="0" w:space="0" w:color="auto"/>
            <w:bottom w:val="none" w:sz="0" w:space="0" w:color="auto"/>
            <w:right w:val="none" w:sz="0" w:space="0" w:color="auto"/>
          </w:divBdr>
        </w:div>
        <w:div w:id="649359269">
          <w:marLeft w:val="0"/>
          <w:marRight w:val="0"/>
          <w:marTop w:val="0"/>
          <w:marBottom w:val="0"/>
          <w:divBdr>
            <w:top w:val="none" w:sz="0" w:space="0" w:color="auto"/>
            <w:left w:val="none" w:sz="0" w:space="0" w:color="auto"/>
            <w:bottom w:val="none" w:sz="0" w:space="0" w:color="auto"/>
            <w:right w:val="none" w:sz="0" w:space="0" w:color="auto"/>
          </w:divBdr>
        </w:div>
        <w:div w:id="1267612576">
          <w:marLeft w:val="0"/>
          <w:marRight w:val="0"/>
          <w:marTop w:val="0"/>
          <w:marBottom w:val="0"/>
          <w:divBdr>
            <w:top w:val="none" w:sz="0" w:space="0" w:color="auto"/>
            <w:left w:val="none" w:sz="0" w:space="0" w:color="auto"/>
            <w:bottom w:val="none" w:sz="0" w:space="0" w:color="auto"/>
            <w:right w:val="none" w:sz="0" w:space="0" w:color="auto"/>
          </w:divBdr>
        </w:div>
        <w:div w:id="1904289178">
          <w:marLeft w:val="0"/>
          <w:marRight w:val="0"/>
          <w:marTop w:val="0"/>
          <w:marBottom w:val="0"/>
          <w:divBdr>
            <w:top w:val="none" w:sz="0" w:space="0" w:color="auto"/>
            <w:left w:val="none" w:sz="0" w:space="0" w:color="auto"/>
            <w:bottom w:val="none" w:sz="0" w:space="0" w:color="auto"/>
            <w:right w:val="none" w:sz="0" w:space="0" w:color="auto"/>
          </w:divBdr>
        </w:div>
      </w:divsChild>
    </w:div>
    <w:div w:id="762534783">
      <w:bodyDiv w:val="1"/>
      <w:marLeft w:val="0"/>
      <w:marRight w:val="0"/>
      <w:marTop w:val="0"/>
      <w:marBottom w:val="0"/>
      <w:divBdr>
        <w:top w:val="none" w:sz="0" w:space="0" w:color="auto"/>
        <w:left w:val="none" w:sz="0" w:space="0" w:color="auto"/>
        <w:bottom w:val="none" w:sz="0" w:space="0" w:color="auto"/>
        <w:right w:val="none" w:sz="0" w:space="0" w:color="auto"/>
      </w:divBdr>
    </w:div>
    <w:div w:id="832835266">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06112646">
      <w:bodyDiv w:val="1"/>
      <w:marLeft w:val="0"/>
      <w:marRight w:val="0"/>
      <w:marTop w:val="0"/>
      <w:marBottom w:val="0"/>
      <w:divBdr>
        <w:top w:val="none" w:sz="0" w:space="0" w:color="auto"/>
        <w:left w:val="none" w:sz="0" w:space="0" w:color="auto"/>
        <w:bottom w:val="none" w:sz="0" w:space="0" w:color="auto"/>
        <w:right w:val="none" w:sz="0" w:space="0" w:color="auto"/>
      </w:divBdr>
    </w:div>
    <w:div w:id="1014764693">
      <w:bodyDiv w:val="1"/>
      <w:marLeft w:val="0"/>
      <w:marRight w:val="0"/>
      <w:marTop w:val="0"/>
      <w:marBottom w:val="0"/>
      <w:divBdr>
        <w:top w:val="none" w:sz="0" w:space="0" w:color="auto"/>
        <w:left w:val="none" w:sz="0" w:space="0" w:color="auto"/>
        <w:bottom w:val="none" w:sz="0" w:space="0" w:color="auto"/>
        <w:right w:val="none" w:sz="0" w:space="0" w:color="auto"/>
      </w:divBdr>
    </w:div>
    <w:div w:id="1106147658">
      <w:bodyDiv w:val="1"/>
      <w:marLeft w:val="0"/>
      <w:marRight w:val="0"/>
      <w:marTop w:val="0"/>
      <w:marBottom w:val="0"/>
      <w:divBdr>
        <w:top w:val="none" w:sz="0" w:space="0" w:color="auto"/>
        <w:left w:val="none" w:sz="0" w:space="0" w:color="auto"/>
        <w:bottom w:val="none" w:sz="0" w:space="0" w:color="auto"/>
        <w:right w:val="none" w:sz="0" w:space="0" w:color="auto"/>
      </w:divBdr>
    </w:div>
    <w:div w:id="1183014931">
      <w:bodyDiv w:val="1"/>
      <w:marLeft w:val="0"/>
      <w:marRight w:val="0"/>
      <w:marTop w:val="0"/>
      <w:marBottom w:val="0"/>
      <w:divBdr>
        <w:top w:val="none" w:sz="0" w:space="0" w:color="auto"/>
        <w:left w:val="none" w:sz="0" w:space="0" w:color="auto"/>
        <w:bottom w:val="none" w:sz="0" w:space="0" w:color="auto"/>
        <w:right w:val="none" w:sz="0" w:space="0" w:color="auto"/>
      </w:divBdr>
    </w:div>
    <w:div w:id="1346981967">
      <w:bodyDiv w:val="1"/>
      <w:marLeft w:val="0"/>
      <w:marRight w:val="0"/>
      <w:marTop w:val="0"/>
      <w:marBottom w:val="0"/>
      <w:divBdr>
        <w:top w:val="none" w:sz="0" w:space="0" w:color="auto"/>
        <w:left w:val="none" w:sz="0" w:space="0" w:color="auto"/>
        <w:bottom w:val="none" w:sz="0" w:space="0" w:color="auto"/>
        <w:right w:val="none" w:sz="0" w:space="0" w:color="auto"/>
      </w:divBdr>
    </w:div>
    <w:div w:id="1361131219">
      <w:bodyDiv w:val="1"/>
      <w:marLeft w:val="0"/>
      <w:marRight w:val="0"/>
      <w:marTop w:val="0"/>
      <w:marBottom w:val="0"/>
      <w:divBdr>
        <w:top w:val="none" w:sz="0" w:space="0" w:color="auto"/>
        <w:left w:val="none" w:sz="0" w:space="0" w:color="auto"/>
        <w:bottom w:val="none" w:sz="0" w:space="0" w:color="auto"/>
        <w:right w:val="none" w:sz="0" w:space="0" w:color="auto"/>
      </w:divBdr>
    </w:div>
    <w:div w:id="1361392069">
      <w:bodyDiv w:val="1"/>
      <w:marLeft w:val="0"/>
      <w:marRight w:val="0"/>
      <w:marTop w:val="0"/>
      <w:marBottom w:val="0"/>
      <w:divBdr>
        <w:top w:val="none" w:sz="0" w:space="0" w:color="auto"/>
        <w:left w:val="none" w:sz="0" w:space="0" w:color="auto"/>
        <w:bottom w:val="none" w:sz="0" w:space="0" w:color="auto"/>
        <w:right w:val="none" w:sz="0" w:space="0" w:color="auto"/>
      </w:divBdr>
      <w:divsChild>
        <w:div w:id="1186864956">
          <w:marLeft w:val="446"/>
          <w:marRight w:val="0"/>
          <w:marTop w:val="0"/>
          <w:marBottom w:val="0"/>
          <w:divBdr>
            <w:top w:val="none" w:sz="0" w:space="0" w:color="auto"/>
            <w:left w:val="none" w:sz="0" w:space="0" w:color="auto"/>
            <w:bottom w:val="none" w:sz="0" w:space="0" w:color="auto"/>
            <w:right w:val="none" w:sz="0" w:space="0" w:color="auto"/>
          </w:divBdr>
        </w:div>
      </w:divsChild>
    </w:div>
    <w:div w:id="1414736235">
      <w:bodyDiv w:val="1"/>
      <w:marLeft w:val="0"/>
      <w:marRight w:val="0"/>
      <w:marTop w:val="0"/>
      <w:marBottom w:val="0"/>
      <w:divBdr>
        <w:top w:val="none" w:sz="0" w:space="0" w:color="auto"/>
        <w:left w:val="none" w:sz="0" w:space="0" w:color="auto"/>
        <w:bottom w:val="none" w:sz="0" w:space="0" w:color="auto"/>
        <w:right w:val="none" w:sz="0" w:space="0" w:color="auto"/>
      </w:divBdr>
    </w:div>
    <w:div w:id="1466854293">
      <w:bodyDiv w:val="1"/>
      <w:marLeft w:val="0"/>
      <w:marRight w:val="0"/>
      <w:marTop w:val="0"/>
      <w:marBottom w:val="0"/>
      <w:divBdr>
        <w:top w:val="none" w:sz="0" w:space="0" w:color="auto"/>
        <w:left w:val="none" w:sz="0" w:space="0" w:color="auto"/>
        <w:bottom w:val="none" w:sz="0" w:space="0" w:color="auto"/>
        <w:right w:val="none" w:sz="0" w:space="0" w:color="auto"/>
      </w:divBdr>
    </w:div>
    <w:div w:id="1474366370">
      <w:bodyDiv w:val="1"/>
      <w:marLeft w:val="0"/>
      <w:marRight w:val="0"/>
      <w:marTop w:val="0"/>
      <w:marBottom w:val="0"/>
      <w:divBdr>
        <w:top w:val="none" w:sz="0" w:space="0" w:color="auto"/>
        <w:left w:val="none" w:sz="0" w:space="0" w:color="auto"/>
        <w:bottom w:val="none" w:sz="0" w:space="0" w:color="auto"/>
        <w:right w:val="none" w:sz="0" w:space="0" w:color="auto"/>
      </w:divBdr>
    </w:div>
    <w:div w:id="1504278628">
      <w:bodyDiv w:val="1"/>
      <w:marLeft w:val="0"/>
      <w:marRight w:val="0"/>
      <w:marTop w:val="0"/>
      <w:marBottom w:val="0"/>
      <w:divBdr>
        <w:top w:val="none" w:sz="0" w:space="0" w:color="auto"/>
        <w:left w:val="none" w:sz="0" w:space="0" w:color="auto"/>
        <w:bottom w:val="none" w:sz="0" w:space="0" w:color="auto"/>
        <w:right w:val="none" w:sz="0" w:space="0" w:color="auto"/>
      </w:divBdr>
    </w:div>
    <w:div w:id="1519082544">
      <w:bodyDiv w:val="1"/>
      <w:marLeft w:val="0"/>
      <w:marRight w:val="0"/>
      <w:marTop w:val="0"/>
      <w:marBottom w:val="0"/>
      <w:divBdr>
        <w:top w:val="none" w:sz="0" w:space="0" w:color="auto"/>
        <w:left w:val="none" w:sz="0" w:space="0" w:color="auto"/>
        <w:bottom w:val="none" w:sz="0" w:space="0" w:color="auto"/>
        <w:right w:val="none" w:sz="0" w:space="0" w:color="auto"/>
      </w:divBdr>
    </w:div>
    <w:div w:id="1520849118">
      <w:bodyDiv w:val="1"/>
      <w:marLeft w:val="0"/>
      <w:marRight w:val="0"/>
      <w:marTop w:val="0"/>
      <w:marBottom w:val="0"/>
      <w:divBdr>
        <w:top w:val="none" w:sz="0" w:space="0" w:color="auto"/>
        <w:left w:val="none" w:sz="0" w:space="0" w:color="auto"/>
        <w:bottom w:val="none" w:sz="0" w:space="0" w:color="auto"/>
        <w:right w:val="none" w:sz="0" w:space="0" w:color="auto"/>
      </w:divBdr>
      <w:divsChild>
        <w:div w:id="802508287">
          <w:marLeft w:val="0"/>
          <w:marRight w:val="0"/>
          <w:marTop w:val="0"/>
          <w:marBottom w:val="0"/>
          <w:divBdr>
            <w:top w:val="none" w:sz="0" w:space="0" w:color="auto"/>
            <w:left w:val="none" w:sz="0" w:space="0" w:color="auto"/>
            <w:bottom w:val="none" w:sz="0" w:space="0" w:color="auto"/>
            <w:right w:val="none" w:sz="0" w:space="0" w:color="auto"/>
          </w:divBdr>
        </w:div>
      </w:divsChild>
    </w:div>
    <w:div w:id="1563787025">
      <w:bodyDiv w:val="1"/>
      <w:marLeft w:val="0"/>
      <w:marRight w:val="0"/>
      <w:marTop w:val="0"/>
      <w:marBottom w:val="0"/>
      <w:divBdr>
        <w:top w:val="none" w:sz="0" w:space="0" w:color="auto"/>
        <w:left w:val="none" w:sz="0" w:space="0" w:color="auto"/>
        <w:bottom w:val="none" w:sz="0" w:space="0" w:color="auto"/>
        <w:right w:val="none" w:sz="0" w:space="0" w:color="auto"/>
      </w:divBdr>
      <w:divsChild>
        <w:div w:id="260456465">
          <w:marLeft w:val="0"/>
          <w:marRight w:val="0"/>
          <w:marTop w:val="0"/>
          <w:marBottom w:val="0"/>
          <w:divBdr>
            <w:top w:val="none" w:sz="0" w:space="0" w:color="auto"/>
            <w:left w:val="none" w:sz="0" w:space="0" w:color="auto"/>
            <w:bottom w:val="none" w:sz="0" w:space="0" w:color="auto"/>
            <w:right w:val="none" w:sz="0" w:space="0" w:color="auto"/>
          </w:divBdr>
        </w:div>
        <w:div w:id="1160459668">
          <w:marLeft w:val="0"/>
          <w:marRight w:val="0"/>
          <w:marTop w:val="0"/>
          <w:marBottom w:val="0"/>
          <w:divBdr>
            <w:top w:val="none" w:sz="0" w:space="0" w:color="auto"/>
            <w:left w:val="none" w:sz="0" w:space="0" w:color="auto"/>
            <w:bottom w:val="none" w:sz="0" w:space="0" w:color="auto"/>
            <w:right w:val="none" w:sz="0" w:space="0" w:color="auto"/>
          </w:divBdr>
        </w:div>
        <w:div w:id="1994026120">
          <w:marLeft w:val="0"/>
          <w:marRight w:val="0"/>
          <w:marTop w:val="0"/>
          <w:marBottom w:val="0"/>
          <w:divBdr>
            <w:top w:val="none" w:sz="0" w:space="0" w:color="auto"/>
            <w:left w:val="none" w:sz="0" w:space="0" w:color="auto"/>
            <w:bottom w:val="none" w:sz="0" w:space="0" w:color="auto"/>
            <w:right w:val="none" w:sz="0" w:space="0" w:color="auto"/>
          </w:divBdr>
        </w:div>
      </w:divsChild>
    </w:div>
    <w:div w:id="1585215089">
      <w:bodyDiv w:val="1"/>
      <w:marLeft w:val="0"/>
      <w:marRight w:val="0"/>
      <w:marTop w:val="0"/>
      <w:marBottom w:val="0"/>
      <w:divBdr>
        <w:top w:val="none" w:sz="0" w:space="0" w:color="auto"/>
        <w:left w:val="none" w:sz="0" w:space="0" w:color="auto"/>
        <w:bottom w:val="none" w:sz="0" w:space="0" w:color="auto"/>
        <w:right w:val="none" w:sz="0" w:space="0" w:color="auto"/>
      </w:divBdr>
    </w:div>
    <w:div w:id="1602880403">
      <w:bodyDiv w:val="1"/>
      <w:marLeft w:val="0"/>
      <w:marRight w:val="0"/>
      <w:marTop w:val="0"/>
      <w:marBottom w:val="0"/>
      <w:divBdr>
        <w:top w:val="none" w:sz="0" w:space="0" w:color="auto"/>
        <w:left w:val="none" w:sz="0" w:space="0" w:color="auto"/>
        <w:bottom w:val="none" w:sz="0" w:space="0" w:color="auto"/>
        <w:right w:val="none" w:sz="0" w:space="0" w:color="auto"/>
      </w:divBdr>
    </w:div>
    <w:div w:id="1609123385">
      <w:bodyDiv w:val="1"/>
      <w:marLeft w:val="0"/>
      <w:marRight w:val="0"/>
      <w:marTop w:val="0"/>
      <w:marBottom w:val="0"/>
      <w:divBdr>
        <w:top w:val="none" w:sz="0" w:space="0" w:color="auto"/>
        <w:left w:val="none" w:sz="0" w:space="0" w:color="auto"/>
        <w:bottom w:val="none" w:sz="0" w:space="0" w:color="auto"/>
        <w:right w:val="none" w:sz="0" w:space="0" w:color="auto"/>
      </w:divBdr>
    </w:div>
    <w:div w:id="1611234276">
      <w:bodyDiv w:val="1"/>
      <w:marLeft w:val="0"/>
      <w:marRight w:val="0"/>
      <w:marTop w:val="0"/>
      <w:marBottom w:val="0"/>
      <w:divBdr>
        <w:top w:val="none" w:sz="0" w:space="0" w:color="auto"/>
        <w:left w:val="none" w:sz="0" w:space="0" w:color="auto"/>
        <w:bottom w:val="none" w:sz="0" w:space="0" w:color="auto"/>
        <w:right w:val="none" w:sz="0" w:space="0" w:color="auto"/>
      </w:divBdr>
      <w:divsChild>
        <w:div w:id="813258447">
          <w:marLeft w:val="446"/>
          <w:marRight w:val="0"/>
          <w:marTop w:val="0"/>
          <w:marBottom w:val="0"/>
          <w:divBdr>
            <w:top w:val="none" w:sz="0" w:space="0" w:color="auto"/>
            <w:left w:val="none" w:sz="0" w:space="0" w:color="auto"/>
            <w:bottom w:val="none" w:sz="0" w:space="0" w:color="auto"/>
            <w:right w:val="none" w:sz="0" w:space="0" w:color="auto"/>
          </w:divBdr>
        </w:div>
      </w:divsChild>
    </w:div>
    <w:div w:id="1790782374">
      <w:bodyDiv w:val="1"/>
      <w:marLeft w:val="0"/>
      <w:marRight w:val="0"/>
      <w:marTop w:val="0"/>
      <w:marBottom w:val="0"/>
      <w:divBdr>
        <w:top w:val="none" w:sz="0" w:space="0" w:color="auto"/>
        <w:left w:val="none" w:sz="0" w:space="0" w:color="auto"/>
        <w:bottom w:val="none" w:sz="0" w:space="0" w:color="auto"/>
        <w:right w:val="none" w:sz="0" w:space="0" w:color="auto"/>
      </w:divBdr>
    </w:div>
    <w:div w:id="179421005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22960750">
      <w:bodyDiv w:val="1"/>
      <w:marLeft w:val="0"/>
      <w:marRight w:val="0"/>
      <w:marTop w:val="0"/>
      <w:marBottom w:val="0"/>
      <w:divBdr>
        <w:top w:val="none" w:sz="0" w:space="0" w:color="auto"/>
        <w:left w:val="none" w:sz="0" w:space="0" w:color="auto"/>
        <w:bottom w:val="none" w:sz="0" w:space="0" w:color="auto"/>
        <w:right w:val="none" w:sz="0" w:space="0" w:color="auto"/>
      </w:divBdr>
      <w:divsChild>
        <w:div w:id="1227373952">
          <w:marLeft w:val="0"/>
          <w:marRight w:val="0"/>
          <w:marTop w:val="0"/>
          <w:marBottom w:val="0"/>
          <w:divBdr>
            <w:top w:val="none" w:sz="0" w:space="0" w:color="auto"/>
            <w:left w:val="none" w:sz="0" w:space="0" w:color="auto"/>
            <w:bottom w:val="none" w:sz="0" w:space="0" w:color="auto"/>
            <w:right w:val="none" w:sz="0" w:space="0" w:color="auto"/>
          </w:divBdr>
          <w:divsChild>
            <w:div w:id="243730600">
              <w:marLeft w:val="0"/>
              <w:marRight w:val="0"/>
              <w:marTop w:val="0"/>
              <w:marBottom w:val="0"/>
              <w:divBdr>
                <w:top w:val="none" w:sz="0" w:space="0" w:color="auto"/>
                <w:left w:val="none" w:sz="0" w:space="0" w:color="auto"/>
                <w:bottom w:val="none" w:sz="0" w:space="0" w:color="auto"/>
                <w:right w:val="none" w:sz="0" w:space="0" w:color="auto"/>
              </w:divBdr>
            </w:div>
            <w:div w:id="530458689">
              <w:marLeft w:val="0"/>
              <w:marRight w:val="0"/>
              <w:marTop w:val="0"/>
              <w:marBottom w:val="0"/>
              <w:divBdr>
                <w:top w:val="none" w:sz="0" w:space="0" w:color="auto"/>
                <w:left w:val="none" w:sz="0" w:space="0" w:color="auto"/>
                <w:bottom w:val="none" w:sz="0" w:space="0" w:color="auto"/>
                <w:right w:val="none" w:sz="0" w:space="0" w:color="auto"/>
              </w:divBdr>
            </w:div>
            <w:div w:id="1124033246">
              <w:marLeft w:val="0"/>
              <w:marRight w:val="0"/>
              <w:marTop w:val="0"/>
              <w:marBottom w:val="0"/>
              <w:divBdr>
                <w:top w:val="none" w:sz="0" w:space="0" w:color="auto"/>
                <w:left w:val="none" w:sz="0" w:space="0" w:color="auto"/>
                <w:bottom w:val="none" w:sz="0" w:space="0" w:color="auto"/>
                <w:right w:val="none" w:sz="0" w:space="0" w:color="auto"/>
              </w:divBdr>
            </w:div>
          </w:divsChild>
        </w:div>
        <w:div w:id="1929271068">
          <w:marLeft w:val="0"/>
          <w:marRight w:val="0"/>
          <w:marTop w:val="0"/>
          <w:marBottom w:val="0"/>
          <w:divBdr>
            <w:top w:val="none" w:sz="0" w:space="0" w:color="auto"/>
            <w:left w:val="none" w:sz="0" w:space="0" w:color="auto"/>
            <w:bottom w:val="none" w:sz="0" w:space="0" w:color="auto"/>
            <w:right w:val="none" w:sz="0" w:space="0" w:color="auto"/>
          </w:divBdr>
        </w:div>
      </w:divsChild>
    </w:div>
    <w:div w:id="1870416335">
      <w:bodyDiv w:val="1"/>
      <w:marLeft w:val="0"/>
      <w:marRight w:val="0"/>
      <w:marTop w:val="0"/>
      <w:marBottom w:val="0"/>
      <w:divBdr>
        <w:top w:val="none" w:sz="0" w:space="0" w:color="auto"/>
        <w:left w:val="none" w:sz="0" w:space="0" w:color="auto"/>
        <w:bottom w:val="none" w:sz="0" w:space="0" w:color="auto"/>
        <w:right w:val="none" w:sz="0" w:space="0" w:color="auto"/>
      </w:divBdr>
      <w:divsChild>
        <w:div w:id="269554679">
          <w:marLeft w:val="446"/>
          <w:marRight w:val="0"/>
          <w:marTop w:val="0"/>
          <w:marBottom w:val="0"/>
          <w:divBdr>
            <w:top w:val="none" w:sz="0" w:space="0" w:color="auto"/>
            <w:left w:val="none" w:sz="0" w:space="0" w:color="auto"/>
            <w:bottom w:val="none" w:sz="0" w:space="0" w:color="auto"/>
            <w:right w:val="none" w:sz="0" w:space="0" w:color="auto"/>
          </w:divBdr>
        </w:div>
      </w:divsChild>
    </w:div>
    <w:div w:id="1900093837">
      <w:bodyDiv w:val="1"/>
      <w:marLeft w:val="0"/>
      <w:marRight w:val="0"/>
      <w:marTop w:val="0"/>
      <w:marBottom w:val="0"/>
      <w:divBdr>
        <w:top w:val="none" w:sz="0" w:space="0" w:color="auto"/>
        <w:left w:val="none" w:sz="0" w:space="0" w:color="auto"/>
        <w:bottom w:val="none" w:sz="0" w:space="0" w:color="auto"/>
        <w:right w:val="none" w:sz="0" w:space="0" w:color="auto"/>
      </w:divBdr>
    </w:div>
    <w:div w:id="1998604283">
      <w:bodyDiv w:val="1"/>
      <w:marLeft w:val="0"/>
      <w:marRight w:val="0"/>
      <w:marTop w:val="0"/>
      <w:marBottom w:val="0"/>
      <w:divBdr>
        <w:top w:val="none" w:sz="0" w:space="0" w:color="auto"/>
        <w:left w:val="none" w:sz="0" w:space="0" w:color="auto"/>
        <w:bottom w:val="none" w:sz="0" w:space="0" w:color="auto"/>
        <w:right w:val="none" w:sz="0" w:space="0" w:color="auto"/>
      </w:divBdr>
    </w:div>
    <w:div w:id="2066219496">
      <w:bodyDiv w:val="1"/>
      <w:marLeft w:val="0"/>
      <w:marRight w:val="0"/>
      <w:marTop w:val="0"/>
      <w:marBottom w:val="0"/>
      <w:divBdr>
        <w:top w:val="none" w:sz="0" w:space="0" w:color="auto"/>
        <w:left w:val="none" w:sz="0" w:space="0" w:color="auto"/>
        <w:bottom w:val="none" w:sz="0" w:space="0" w:color="auto"/>
        <w:right w:val="none" w:sz="0" w:space="0" w:color="auto"/>
      </w:divBdr>
      <w:divsChild>
        <w:div w:id="37316441">
          <w:marLeft w:val="0"/>
          <w:marRight w:val="0"/>
          <w:marTop w:val="0"/>
          <w:marBottom w:val="0"/>
          <w:divBdr>
            <w:top w:val="none" w:sz="0" w:space="0" w:color="auto"/>
            <w:left w:val="none" w:sz="0" w:space="0" w:color="auto"/>
            <w:bottom w:val="none" w:sz="0" w:space="0" w:color="auto"/>
            <w:right w:val="none" w:sz="0" w:space="0" w:color="auto"/>
          </w:divBdr>
        </w:div>
        <w:div w:id="335690516">
          <w:marLeft w:val="0"/>
          <w:marRight w:val="0"/>
          <w:marTop w:val="0"/>
          <w:marBottom w:val="0"/>
          <w:divBdr>
            <w:top w:val="none" w:sz="0" w:space="0" w:color="auto"/>
            <w:left w:val="none" w:sz="0" w:space="0" w:color="auto"/>
            <w:bottom w:val="none" w:sz="0" w:space="0" w:color="auto"/>
            <w:right w:val="none" w:sz="0" w:space="0" w:color="auto"/>
          </w:divBdr>
        </w:div>
        <w:div w:id="391006292">
          <w:marLeft w:val="0"/>
          <w:marRight w:val="0"/>
          <w:marTop w:val="0"/>
          <w:marBottom w:val="0"/>
          <w:divBdr>
            <w:top w:val="none" w:sz="0" w:space="0" w:color="auto"/>
            <w:left w:val="none" w:sz="0" w:space="0" w:color="auto"/>
            <w:bottom w:val="none" w:sz="0" w:space="0" w:color="auto"/>
            <w:right w:val="none" w:sz="0" w:space="0" w:color="auto"/>
          </w:divBdr>
        </w:div>
        <w:div w:id="1423526875">
          <w:marLeft w:val="0"/>
          <w:marRight w:val="0"/>
          <w:marTop w:val="0"/>
          <w:marBottom w:val="0"/>
          <w:divBdr>
            <w:top w:val="none" w:sz="0" w:space="0" w:color="auto"/>
            <w:left w:val="none" w:sz="0" w:space="0" w:color="auto"/>
            <w:bottom w:val="none" w:sz="0" w:space="0" w:color="auto"/>
            <w:right w:val="none" w:sz="0" w:space="0" w:color="auto"/>
          </w:divBdr>
        </w:div>
        <w:div w:id="1532642025">
          <w:marLeft w:val="0"/>
          <w:marRight w:val="0"/>
          <w:marTop w:val="0"/>
          <w:marBottom w:val="0"/>
          <w:divBdr>
            <w:top w:val="none" w:sz="0" w:space="0" w:color="auto"/>
            <w:left w:val="none" w:sz="0" w:space="0" w:color="auto"/>
            <w:bottom w:val="none" w:sz="0" w:space="0" w:color="auto"/>
            <w:right w:val="none" w:sz="0" w:space="0" w:color="auto"/>
          </w:divBdr>
        </w:div>
        <w:div w:id="1564295319">
          <w:marLeft w:val="0"/>
          <w:marRight w:val="0"/>
          <w:marTop w:val="0"/>
          <w:marBottom w:val="0"/>
          <w:divBdr>
            <w:top w:val="none" w:sz="0" w:space="0" w:color="auto"/>
            <w:left w:val="none" w:sz="0" w:space="0" w:color="auto"/>
            <w:bottom w:val="none" w:sz="0" w:space="0" w:color="auto"/>
            <w:right w:val="none" w:sz="0" w:space="0" w:color="auto"/>
          </w:divBdr>
          <w:divsChild>
            <w:div w:id="157507153">
              <w:marLeft w:val="0"/>
              <w:marRight w:val="0"/>
              <w:marTop w:val="0"/>
              <w:marBottom w:val="0"/>
              <w:divBdr>
                <w:top w:val="none" w:sz="0" w:space="0" w:color="auto"/>
                <w:left w:val="none" w:sz="0" w:space="0" w:color="auto"/>
                <w:bottom w:val="none" w:sz="0" w:space="0" w:color="auto"/>
                <w:right w:val="none" w:sz="0" w:space="0" w:color="auto"/>
              </w:divBdr>
              <w:divsChild>
                <w:div w:id="54472481">
                  <w:marLeft w:val="0"/>
                  <w:marRight w:val="0"/>
                  <w:marTop w:val="0"/>
                  <w:marBottom w:val="0"/>
                  <w:divBdr>
                    <w:top w:val="none" w:sz="0" w:space="0" w:color="auto"/>
                    <w:left w:val="none" w:sz="0" w:space="0" w:color="auto"/>
                    <w:bottom w:val="none" w:sz="0" w:space="0" w:color="auto"/>
                    <w:right w:val="none" w:sz="0" w:space="0" w:color="auto"/>
                  </w:divBdr>
                </w:div>
                <w:div w:id="750195003">
                  <w:marLeft w:val="0"/>
                  <w:marRight w:val="0"/>
                  <w:marTop w:val="0"/>
                  <w:marBottom w:val="0"/>
                  <w:divBdr>
                    <w:top w:val="none" w:sz="0" w:space="0" w:color="auto"/>
                    <w:left w:val="none" w:sz="0" w:space="0" w:color="auto"/>
                    <w:bottom w:val="none" w:sz="0" w:space="0" w:color="auto"/>
                    <w:right w:val="none" w:sz="0" w:space="0" w:color="auto"/>
                  </w:divBdr>
                </w:div>
                <w:div w:id="1517843175">
                  <w:marLeft w:val="0"/>
                  <w:marRight w:val="0"/>
                  <w:marTop w:val="0"/>
                  <w:marBottom w:val="0"/>
                  <w:divBdr>
                    <w:top w:val="none" w:sz="0" w:space="0" w:color="auto"/>
                    <w:left w:val="none" w:sz="0" w:space="0" w:color="auto"/>
                    <w:bottom w:val="none" w:sz="0" w:space="0" w:color="auto"/>
                    <w:right w:val="none" w:sz="0" w:space="0" w:color="auto"/>
                  </w:divBdr>
                </w:div>
              </w:divsChild>
            </w:div>
            <w:div w:id="627443274">
              <w:marLeft w:val="0"/>
              <w:marRight w:val="0"/>
              <w:marTop w:val="0"/>
              <w:marBottom w:val="0"/>
              <w:divBdr>
                <w:top w:val="none" w:sz="0" w:space="0" w:color="auto"/>
                <w:left w:val="none" w:sz="0" w:space="0" w:color="auto"/>
                <w:bottom w:val="none" w:sz="0" w:space="0" w:color="auto"/>
                <w:right w:val="none" w:sz="0" w:space="0" w:color="auto"/>
              </w:divBdr>
            </w:div>
          </w:divsChild>
        </w:div>
        <w:div w:id="2140297696">
          <w:marLeft w:val="0"/>
          <w:marRight w:val="0"/>
          <w:marTop w:val="0"/>
          <w:marBottom w:val="0"/>
          <w:divBdr>
            <w:top w:val="none" w:sz="0" w:space="0" w:color="auto"/>
            <w:left w:val="none" w:sz="0" w:space="0" w:color="auto"/>
            <w:bottom w:val="none" w:sz="0" w:space="0" w:color="auto"/>
            <w:right w:val="none" w:sz="0" w:space="0" w:color="auto"/>
          </w:divBdr>
        </w:div>
      </w:divsChild>
    </w:div>
    <w:div w:id="2108961736">
      <w:bodyDiv w:val="1"/>
      <w:marLeft w:val="0"/>
      <w:marRight w:val="0"/>
      <w:marTop w:val="0"/>
      <w:marBottom w:val="0"/>
      <w:divBdr>
        <w:top w:val="none" w:sz="0" w:space="0" w:color="auto"/>
        <w:left w:val="none" w:sz="0" w:space="0" w:color="auto"/>
        <w:bottom w:val="none" w:sz="0" w:space="0" w:color="auto"/>
        <w:right w:val="none" w:sz="0" w:space="0" w:color="auto"/>
      </w:divBdr>
    </w:div>
    <w:div w:id="2135100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hyperlink" TargetMode="External" Target="https://www.timeanddate.com/sun/lithuania/klaipeda"/>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fontTable" Target="fontTable.xml"/>
  <Relationship Id="rId19" Type="http://schemas.openxmlformats.org/officeDocument/2006/relationships/theme" Target="theme/theme1.xml"/>
  <Relationship Id="rId2" Type="http://schemas.openxmlformats.org/officeDocument/2006/relationships/customXml" Target="../customXml/item2.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E5569-D793-4217-B232-E816039AF86D}">
  <ds:schemaRefs>
    <ds:schemaRef ds:uri="db96e512-6920-4eea-b1bf-b81a54d2aa3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1bdba5e-b18c-4c8c-b425-bdf6d075d995"/>
    <ds:schemaRef ds:uri="http://www.w3.org/XML/1998/namespace"/>
    <ds:schemaRef ds:uri="http://purl.org/dc/dcmitype/"/>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8ECC29-7F06-415F-B877-E31A8AFB1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16225</Words>
  <Characters>9249</Characters>
  <Application>Microsoft Office Word</Application>
  <DocSecurity>0</DocSecurity>
  <Lines>77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25424</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2025-04-04T16:06:00Z</dcterms:created>
  <dc:creator>Virginija Levinskienė</dc:creator>
  <lastModifiedBy>JŪRĖNIENĖ Jolanta</lastModifiedBy>
  <dcterms:modified xsi:type="dcterms:W3CDTF">2025-04-04T16:28:00Z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GrammarlyDocumentId">
    <vt:lpwstr>d0472e3b0dd498cda461620e58dd69f3b81b72b6d7d9015161fb42db26a39dd1</vt:lpwstr>
  </property>
</Properties>
</file>